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ED827" w14:textId="77777777" w:rsidR="00D6200B" w:rsidRPr="000051D4" w:rsidRDefault="00D6200B" w:rsidP="00D6200B">
      <w:pPr>
        <w:spacing w:line="276" w:lineRule="auto"/>
        <w:jc w:val="right"/>
        <w:rPr>
          <w:rFonts w:ascii="Calibri" w:hAnsi="Calibri" w:cs="Calibri"/>
          <w:sz w:val="22"/>
          <w:szCs w:val="22"/>
          <w:lang w:eastAsia="ru-RU"/>
        </w:rPr>
      </w:pPr>
      <w:r w:rsidRPr="000051D4">
        <w:rPr>
          <w:rFonts w:ascii="Calibri" w:hAnsi="Calibri" w:cs="Calibri"/>
          <w:sz w:val="22"/>
          <w:szCs w:val="22"/>
          <w:lang w:eastAsia="ru-RU"/>
        </w:rPr>
        <w:t xml:space="preserve">Purchase conditions </w:t>
      </w:r>
    </w:p>
    <w:p w14:paraId="4CE6FAE0" w14:textId="77777777" w:rsidR="00D6200B" w:rsidRPr="000051D4" w:rsidRDefault="00D6200B" w:rsidP="00D6200B">
      <w:pPr>
        <w:spacing w:line="276" w:lineRule="auto"/>
        <w:jc w:val="right"/>
        <w:rPr>
          <w:rFonts w:ascii="Calibri" w:hAnsi="Calibri" w:cs="Calibri"/>
          <w:sz w:val="22"/>
          <w:szCs w:val="22"/>
          <w:lang w:eastAsia="ru-RU"/>
        </w:rPr>
      </w:pPr>
      <w:r w:rsidRPr="000051D4">
        <w:rPr>
          <w:rFonts w:ascii="Calibri" w:hAnsi="Calibri" w:cs="Calibri"/>
          <w:sz w:val="22"/>
          <w:szCs w:val="22"/>
          <w:lang w:eastAsia="ru-RU"/>
        </w:rPr>
        <w:t>Annex 1</w:t>
      </w:r>
    </w:p>
    <w:p w14:paraId="543351BE" w14:textId="77777777" w:rsidR="00D6200B" w:rsidRPr="000051D4" w:rsidRDefault="00D6200B" w:rsidP="00D6200B">
      <w:pPr>
        <w:spacing w:line="276" w:lineRule="auto"/>
        <w:jc w:val="center"/>
        <w:rPr>
          <w:rFonts w:ascii="Calibri" w:hAnsi="Calibri" w:cs="Calibri"/>
          <w:b/>
          <w:bCs/>
          <w:sz w:val="22"/>
          <w:szCs w:val="22"/>
          <w:lang w:eastAsia="ru-RU"/>
        </w:rPr>
      </w:pPr>
    </w:p>
    <w:p w14:paraId="4FD3D537" w14:textId="77777777" w:rsidR="00D6200B" w:rsidRPr="000051D4" w:rsidRDefault="00D6200B" w:rsidP="00D6200B">
      <w:pPr>
        <w:spacing w:line="276" w:lineRule="auto"/>
        <w:jc w:val="center"/>
        <w:rPr>
          <w:rFonts w:ascii="Calibri" w:hAnsi="Calibri" w:cs="Calibri"/>
          <w:b/>
          <w:bCs/>
          <w:sz w:val="22"/>
          <w:szCs w:val="22"/>
          <w:lang w:eastAsia="ru-RU"/>
        </w:rPr>
      </w:pPr>
      <w:r>
        <w:rPr>
          <w:rFonts w:ascii="Calibri" w:hAnsi="Calibri" w:cs="Calibri"/>
          <w:b/>
          <w:bCs/>
          <w:sz w:val="22"/>
          <w:szCs w:val="22"/>
          <w:lang w:eastAsia="ru-RU"/>
        </w:rPr>
        <w:t>INTERPRETATION</w:t>
      </w:r>
      <w:r w:rsidRPr="000051D4">
        <w:rPr>
          <w:rFonts w:ascii="Calibri" w:hAnsi="Calibri" w:cs="Calibri"/>
          <w:b/>
          <w:bCs/>
          <w:sz w:val="22"/>
          <w:szCs w:val="22"/>
          <w:lang w:eastAsia="ru-RU"/>
        </w:rPr>
        <w:t xml:space="preserve"> SERVICES FOR PROJECTS IMPLEMENTED BY</w:t>
      </w:r>
      <w:r>
        <w:rPr>
          <w:rFonts w:ascii="Calibri" w:hAnsi="Calibri" w:cs="Calibri"/>
          <w:b/>
          <w:bCs/>
          <w:sz w:val="22"/>
          <w:szCs w:val="22"/>
          <w:lang w:eastAsia="ru-RU"/>
        </w:rPr>
        <w:t xml:space="preserve"> THE CENTRAL PROJECT MANAGEMENT AGENCY</w:t>
      </w:r>
      <w:r w:rsidRPr="000051D4">
        <w:rPr>
          <w:rFonts w:ascii="Calibri" w:hAnsi="Calibri" w:cs="Calibri"/>
          <w:b/>
          <w:bCs/>
          <w:sz w:val="22"/>
          <w:szCs w:val="22"/>
          <w:lang w:eastAsia="ru-RU"/>
        </w:rPr>
        <w:t xml:space="preserve"> IN UKRAINE</w:t>
      </w:r>
    </w:p>
    <w:p w14:paraId="0CA78E1A" w14:textId="77777777" w:rsidR="00D6200B" w:rsidRPr="000051D4" w:rsidRDefault="00D6200B" w:rsidP="00D6200B">
      <w:pPr>
        <w:spacing w:line="276" w:lineRule="auto"/>
        <w:jc w:val="center"/>
        <w:rPr>
          <w:rFonts w:ascii="Calibri" w:hAnsi="Calibri" w:cs="Calibri"/>
          <w:b/>
          <w:bCs/>
          <w:sz w:val="22"/>
          <w:szCs w:val="22"/>
          <w:lang w:eastAsia="ru-RU"/>
        </w:rPr>
      </w:pPr>
    </w:p>
    <w:p w14:paraId="13033D3C" w14:textId="77777777" w:rsidR="00D6200B" w:rsidRPr="000051D4" w:rsidRDefault="00D6200B" w:rsidP="00D6200B">
      <w:pPr>
        <w:spacing w:line="276" w:lineRule="auto"/>
        <w:jc w:val="center"/>
        <w:rPr>
          <w:rFonts w:ascii="Calibri" w:hAnsi="Calibri" w:cs="Calibri"/>
          <w:b/>
          <w:bCs/>
          <w:sz w:val="22"/>
          <w:szCs w:val="22"/>
          <w:lang w:eastAsia="ru-RU"/>
        </w:rPr>
      </w:pPr>
      <w:r w:rsidRPr="000051D4">
        <w:rPr>
          <w:rFonts w:ascii="Calibri" w:hAnsi="Calibri" w:cs="Calibri"/>
          <w:b/>
          <w:bCs/>
          <w:sz w:val="22"/>
          <w:szCs w:val="22"/>
          <w:lang w:eastAsia="ru-RU"/>
        </w:rPr>
        <w:t>TECHNICAL SPECIFICATION</w:t>
      </w:r>
    </w:p>
    <w:p w14:paraId="7E50ECB4" w14:textId="77777777" w:rsidR="00D6200B" w:rsidRPr="000051D4" w:rsidRDefault="00D6200B" w:rsidP="00D6200B">
      <w:pPr>
        <w:spacing w:line="276" w:lineRule="auto"/>
        <w:jc w:val="center"/>
        <w:rPr>
          <w:rFonts w:ascii="Calibri" w:hAnsi="Calibri" w:cs="Calibri"/>
          <w:b/>
          <w:bCs/>
          <w:sz w:val="22"/>
          <w:szCs w:val="22"/>
          <w:lang w:eastAsia="ru-RU"/>
        </w:rPr>
      </w:pPr>
    </w:p>
    <w:p w14:paraId="0195A14B" w14:textId="77777777" w:rsidR="00D6200B" w:rsidRPr="003869C2" w:rsidRDefault="00D6200B" w:rsidP="00D6200B">
      <w:pPr>
        <w:pStyle w:val="ListParagraph"/>
        <w:numPr>
          <w:ilvl w:val="0"/>
          <w:numId w:val="13"/>
        </w:numPr>
        <w:spacing w:line="276" w:lineRule="auto"/>
        <w:jc w:val="both"/>
        <w:rPr>
          <w:rFonts w:ascii="Calibri" w:hAnsi="Calibri" w:cs="Calibri"/>
          <w:sz w:val="22"/>
          <w:szCs w:val="22"/>
          <w:lang w:val="lt-LT" w:eastAsia="ru-RU"/>
        </w:rPr>
      </w:pPr>
      <w:r w:rsidRPr="00122A05">
        <w:rPr>
          <w:rFonts w:ascii="Calibri" w:hAnsi="Calibri" w:cs="Calibri"/>
          <w:b/>
          <w:bCs/>
          <w:sz w:val="22"/>
          <w:szCs w:val="22"/>
          <w:lang w:val="lt-LT" w:eastAsia="ru-RU"/>
        </w:rPr>
        <w:t>The Public Institution Central Project Management Agency</w:t>
      </w:r>
      <w:r w:rsidRPr="00122A05">
        <w:rPr>
          <w:rFonts w:ascii="Calibri" w:hAnsi="Calibri" w:cs="Calibri"/>
          <w:sz w:val="22"/>
          <w:szCs w:val="22"/>
          <w:lang w:val="lt-LT" w:eastAsia="ru-RU"/>
        </w:rPr>
        <w:t xml:space="preserve"> (hereinafter – CPVA or the </w:t>
      </w:r>
      <w:r w:rsidRPr="003869C2">
        <w:rPr>
          <w:rFonts w:ascii="Calibri" w:hAnsi="Calibri" w:cs="Calibri"/>
          <w:sz w:val="22"/>
          <w:szCs w:val="22"/>
          <w:lang w:val="lt-LT" w:eastAsia="ru-RU"/>
        </w:rPr>
        <w:t>Customer) is purchasing interpretation services</w:t>
      </w:r>
      <w:r w:rsidRPr="003869C2">
        <w:rPr>
          <w:rFonts w:ascii="Calibri" w:hAnsi="Calibri" w:cs="Calibri"/>
          <w:color w:val="000000"/>
          <w:sz w:val="22"/>
          <w:szCs w:val="22"/>
          <w:lang w:val="lt-LT"/>
        </w:rPr>
        <w:t xml:space="preserve"> from English into Ukrainian and from Ukrainian into English </w:t>
      </w:r>
      <w:r w:rsidRPr="008D428A">
        <w:rPr>
          <w:rFonts w:ascii="Calibri" w:hAnsi="Calibri" w:cs="Calibri"/>
          <w:sz w:val="22"/>
          <w:szCs w:val="22"/>
          <w:lang w:val="lt-LT" w:eastAsia="ru-RU"/>
        </w:rPr>
        <w:t xml:space="preserve">for projects implemented by the Customer in Ukraine </w:t>
      </w:r>
      <w:r w:rsidRPr="003869C2">
        <w:rPr>
          <w:rFonts w:ascii="Calibri" w:hAnsi="Calibri" w:cs="Calibri"/>
          <w:sz w:val="22"/>
          <w:szCs w:val="22"/>
          <w:lang w:val="lt-LT" w:eastAsia="ru-RU"/>
        </w:rPr>
        <w:t>(hereinafter referred to as the services) in accordance with the requirements set out in this specification.</w:t>
      </w:r>
    </w:p>
    <w:p w14:paraId="64595CF0" w14:textId="77777777" w:rsidR="00D6200B" w:rsidRPr="000051D4" w:rsidRDefault="00D6200B" w:rsidP="00D6200B">
      <w:pPr>
        <w:numPr>
          <w:ilvl w:val="0"/>
          <w:numId w:val="13"/>
        </w:numPr>
        <w:spacing w:line="276" w:lineRule="auto"/>
        <w:contextualSpacing/>
        <w:jc w:val="both"/>
        <w:rPr>
          <w:rFonts w:ascii="Calibri" w:hAnsi="Calibri" w:cs="Calibri"/>
          <w:sz w:val="22"/>
          <w:szCs w:val="22"/>
        </w:rPr>
      </w:pPr>
      <w:r w:rsidRPr="000051D4">
        <w:rPr>
          <w:rFonts w:ascii="Calibri" w:hAnsi="Calibri" w:cs="Calibri"/>
          <w:sz w:val="22"/>
          <w:szCs w:val="22"/>
        </w:rPr>
        <w:t xml:space="preserve">The Supplier shall provide the Customer with services that meet the requirements set out in this </w:t>
      </w:r>
      <w:r>
        <w:rPr>
          <w:rFonts w:ascii="Calibri" w:hAnsi="Calibri" w:cs="Calibri"/>
          <w:sz w:val="22"/>
          <w:szCs w:val="22"/>
        </w:rPr>
        <w:t xml:space="preserve">technical </w:t>
      </w:r>
      <w:r w:rsidRPr="000051D4">
        <w:rPr>
          <w:rFonts w:ascii="Calibri" w:hAnsi="Calibri" w:cs="Calibri"/>
          <w:sz w:val="22"/>
          <w:szCs w:val="22"/>
        </w:rPr>
        <w:t xml:space="preserve">specification. The services shall be provided in accordance with the service orders submitted by the Customer. The Customer and the Supplier shall coordinate execution of the order by e-mail through their designated responsible persons, whose details are provided in the purchase contract and within the specified time limits. </w:t>
      </w:r>
    </w:p>
    <w:p w14:paraId="534F40D9" w14:textId="77777777" w:rsidR="00D6200B" w:rsidRPr="000051D4" w:rsidRDefault="00D6200B" w:rsidP="00D6200B">
      <w:pPr>
        <w:numPr>
          <w:ilvl w:val="0"/>
          <w:numId w:val="13"/>
        </w:numPr>
        <w:spacing w:line="276" w:lineRule="auto"/>
        <w:contextualSpacing/>
        <w:jc w:val="both"/>
        <w:rPr>
          <w:rFonts w:ascii="Calibri" w:hAnsi="Calibri" w:cs="Calibri"/>
          <w:sz w:val="22"/>
          <w:szCs w:val="22"/>
        </w:rPr>
      </w:pPr>
      <w:r w:rsidRPr="000051D4">
        <w:rPr>
          <w:rFonts w:ascii="Calibri" w:hAnsi="Calibri" w:cs="Calibri"/>
          <w:sz w:val="22"/>
          <w:szCs w:val="22"/>
        </w:rPr>
        <w:t xml:space="preserve">The services will mainly be provided for two projects implemented by CPVA in Ukraine: "Support to Public Financial Management in Ukraine" (more information about this project can be found on the project website: </w:t>
      </w:r>
      <w:hyperlink r:id="rId11" w:history="1">
        <w:r w:rsidRPr="000051D4">
          <w:rPr>
            <w:rStyle w:val="Hyperlink"/>
            <w:rFonts w:ascii="Calibri" w:hAnsi="Calibri" w:cs="Calibri"/>
            <w:sz w:val="22"/>
            <w:szCs w:val="22"/>
          </w:rPr>
          <w:t>https://eu4pfm.com.ua/</w:t>
        </w:r>
      </w:hyperlink>
      <w:r w:rsidRPr="000051D4">
        <w:rPr>
          <w:rFonts w:ascii="Calibri" w:hAnsi="Calibri" w:cs="Calibri"/>
          <w:sz w:val="22"/>
          <w:szCs w:val="22"/>
        </w:rPr>
        <w:t xml:space="preserve">) and "EU Integration Support </w:t>
      </w:r>
      <w:r>
        <w:rPr>
          <w:rFonts w:ascii="Calibri" w:hAnsi="Calibri" w:cs="Calibri"/>
          <w:sz w:val="22"/>
          <w:szCs w:val="22"/>
        </w:rPr>
        <w:t>Programme for</w:t>
      </w:r>
      <w:r w:rsidRPr="000051D4">
        <w:rPr>
          <w:rFonts w:ascii="Calibri" w:hAnsi="Calibri" w:cs="Calibri"/>
          <w:sz w:val="22"/>
          <w:szCs w:val="22"/>
        </w:rPr>
        <w:t xml:space="preserve"> Ukraine" (for more information, please visit the CPVA website: </w:t>
      </w:r>
      <w:hyperlink r:id="rId12" w:history="1">
        <w:r w:rsidRPr="000051D4">
          <w:rPr>
            <w:rStyle w:val="Hyperlink"/>
            <w:rFonts w:ascii="Calibri" w:hAnsi="Calibri" w:cs="Calibri"/>
            <w:sz w:val="22"/>
            <w:szCs w:val="22"/>
          </w:rPr>
          <w:t>https://cpva.lt/projektas/es-integracijos-paramos-priemone-ukrainai-ua2eu)</w:t>
        </w:r>
      </w:hyperlink>
      <w:r w:rsidRPr="000051D4">
        <w:rPr>
          <w:rFonts w:ascii="Calibri" w:hAnsi="Calibri" w:cs="Calibri"/>
          <w:sz w:val="22"/>
          <w:szCs w:val="22"/>
        </w:rPr>
        <w:t xml:space="preserve">. These projects are strategic and particularly important for the European Union, Ukraine, and Lithuania. It is therefore particularly important to ensure that the </w:t>
      </w:r>
      <w:r>
        <w:rPr>
          <w:rFonts w:ascii="Calibri" w:hAnsi="Calibri" w:cs="Calibri"/>
          <w:sz w:val="22"/>
          <w:szCs w:val="22"/>
        </w:rPr>
        <w:t>interpretation</w:t>
      </w:r>
      <w:r w:rsidRPr="000051D4">
        <w:rPr>
          <w:rFonts w:ascii="Calibri" w:hAnsi="Calibri" w:cs="Calibri"/>
          <w:sz w:val="22"/>
          <w:szCs w:val="22"/>
        </w:rPr>
        <w:t xml:space="preserve"> services purchased are provided professionally and in accordance with high quality standards. </w:t>
      </w:r>
    </w:p>
    <w:p w14:paraId="2277AC16" w14:textId="77777777" w:rsidR="00D6200B" w:rsidRPr="000051D4" w:rsidRDefault="00D6200B" w:rsidP="00D6200B">
      <w:pPr>
        <w:numPr>
          <w:ilvl w:val="0"/>
          <w:numId w:val="13"/>
        </w:numPr>
        <w:spacing w:line="276" w:lineRule="auto"/>
        <w:contextualSpacing/>
        <w:jc w:val="both"/>
        <w:rPr>
          <w:rFonts w:ascii="Calibri" w:hAnsi="Calibri" w:cs="Calibri"/>
          <w:sz w:val="22"/>
          <w:szCs w:val="22"/>
        </w:rPr>
      </w:pPr>
      <w:r>
        <w:rPr>
          <w:rFonts w:ascii="Calibri" w:hAnsi="Calibri" w:cs="Calibri"/>
          <w:sz w:val="22"/>
          <w:szCs w:val="22"/>
        </w:rPr>
        <w:t>Interpretations</w:t>
      </w:r>
      <w:r w:rsidRPr="000051D4">
        <w:rPr>
          <w:rFonts w:ascii="Calibri" w:hAnsi="Calibri" w:cs="Calibri"/>
          <w:sz w:val="22"/>
          <w:szCs w:val="22"/>
        </w:rPr>
        <w:t xml:space="preserve"> cover the following topics: public finance management; the EU enlargement process and accession negotiations; issues falling within the competence of the Ukrainian customs and State Tax Service; </w:t>
      </w:r>
      <w:r>
        <w:rPr>
          <w:rFonts w:ascii="Calibri" w:hAnsi="Calibri" w:cs="Calibri"/>
          <w:sz w:val="22"/>
          <w:szCs w:val="22"/>
        </w:rPr>
        <w:t>interpretations</w:t>
      </w:r>
      <w:r w:rsidRPr="000051D4">
        <w:rPr>
          <w:rFonts w:ascii="Calibri" w:hAnsi="Calibri" w:cs="Calibri"/>
          <w:sz w:val="22"/>
          <w:szCs w:val="22"/>
        </w:rPr>
        <w:t xml:space="preserve"> related to the body of European Union legislation, principles, and policies (</w:t>
      </w:r>
      <w:r w:rsidRPr="000051D4">
        <w:rPr>
          <w:rFonts w:ascii="Calibri" w:hAnsi="Calibri" w:cs="Calibri"/>
          <w:i/>
          <w:iCs/>
          <w:sz w:val="22"/>
          <w:szCs w:val="22"/>
        </w:rPr>
        <w:t xml:space="preserve">acquis </w:t>
      </w:r>
      <w:proofErr w:type="spellStart"/>
      <w:r w:rsidRPr="000051D4">
        <w:rPr>
          <w:rFonts w:ascii="Calibri" w:hAnsi="Calibri" w:cs="Calibri"/>
          <w:i/>
          <w:iCs/>
          <w:sz w:val="22"/>
          <w:szCs w:val="22"/>
        </w:rPr>
        <w:t>communautaire</w:t>
      </w:r>
      <w:proofErr w:type="spellEnd"/>
      <w:r w:rsidRPr="000051D4">
        <w:rPr>
          <w:rFonts w:ascii="Calibri" w:hAnsi="Calibri" w:cs="Calibri"/>
          <w:i/>
          <w:iCs/>
          <w:sz w:val="22"/>
          <w:szCs w:val="22"/>
        </w:rPr>
        <w:t xml:space="preserve">) </w:t>
      </w:r>
      <w:r w:rsidRPr="000051D4">
        <w:rPr>
          <w:rFonts w:ascii="Calibri" w:hAnsi="Calibri" w:cs="Calibri"/>
          <w:sz w:val="22"/>
          <w:szCs w:val="22"/>
        </w:rPr>
        <w:t xml:space="preserve">that candidate countries (in the case of the services being procured, Ukraine) must transpose into national law and implement in practice. </w:t>
      </w:r>
      <w:r>
        <w:rPr>
          <w:rFonts w:ascii="Calibri" w:hAnsi="Calibri" w:cs="Calibri"/>
          <w:sz w:val="22"/>
          <w:szCs w:val="22"/>
        </w:rPr>
        <w:t>Interpretations</w:t>
      </w:r>
      <w:r w:rsidRPr="000051D4">
        <w:rPr>
          <w:rFonts w:ascii="Calibri" w:hAnsi="Calibri" w:cs="Calibri"/>
          <w:sz w:val="22"/>
          <w:szCs w:val="22"/>
        </w:rPr>
        <w:t xml:space="preserve"> cover the main areas of</w:t>
      </w:r>
      <w:r w:rsidRPr="000051D4">
        <w:rPr>
          <w:rFonts w:ascii="Calibri" w:hAnsi="Calibri" w:cs="Calibri"/>
          <w:i/>
          <w:iCs/>
          <w:sz w:val="22"/>
          <w:szCs w:val="22"/>
        </w:rPr>
        <w:t xml:space="preserve"> the acquis</w:t>
      </w:r>
      <w:r w:rsidRPr="000051D4">
        <w:rPr>
          <w:rFonts w:ascii="Calibri" w:hAnsi="Calibri" w:cs="Calibri"/>
          <w:sz w:val="22"/>
          <w:szCs w:val="22"/>
        </w:rPr>
        <w:t>: free movement of goods, workers and capital, right of establishment and freedom to provide services, public procurement, company law and intellectual property, financial services, information society and media, agriculture, rural development and fisheries, transport policy, taxation, economic and monetary policy, social policy and employment, enterprise and industrial policy, the judicial system, fundamental rights, justice, freedom and security, education and culture, environment and climate change, consumer and health protection, customs union and other relevant topics.</w:t>
      </w:r>
    </w:p>
    <w:p w14:paraId="64118701" w14:textId="77777777" w:rsidR="00D6200B" w:rsidRPr="000051D4" w:rsidRDefault="00D6200B" w:rsidP="00D6200B">
      <w:pPr>
        <w:pStyle w:val="ListParagraph"/>
        <w:numPr>
          <w:ilvl w:val="0"/>
          <w:numId w:val="13"/>
        </w:numPr>
        <w:spacing w:line="276" w:lineRule="auto"/>
        <w:jc w:val="both"/>
        <w:rPr>
          <w:rFonts w:ascii="Calibri" w:hAnsi="Calibri" w:cs="Calibri"/>
          <w:sz w:val="22"/>
          <w:szCs w:val="22"/>
        </w:rPr>
      </w:pPr>
      <w:r w:rsidRPr="000051D4">
        <w:rPr>
          <w:rFonts w:ascii="Calibri" w:hAnsi="Calibri" w:cs="Calibri"/>
          <w:color w:val="000000"/>
          <w:sz w:val="22"/>
          <w:szCs w:val="22"/>
        </w:rPr>
        <w:t>The services will be provided during events of various types and levels: training sessions (MOC sessions) between Ukraine and the European Union, simulated negotiations to prepare Ukrainian officials for real accession negotiations with the EU, committee meetings, seminars/training sessions, panel discussions, international events.  Some of the events will be attended by representatives and heads of Ukrainian state authorities, various public sector institutions (State Audit Office, State Tax Service, ministries, customs, the Government's Office for the Coordination of European and Euro-Atlantic Integration, etc.)</w:t>
      </w:r>
      <w:r>
        <w:rPr>
          <w:rFonts w:ascii="Calibri" w:hAnsi="Calibri" w:cs="Calibri"/>
          <w:color w:val="000000"/>
          <w:sz w:val="22"/>
          <w:szCs w:val="22"/>
        </w:rPr>
        <w:t>,</w:t>
      </w:r>
      <w:r w:rsidRPr="000051D4">
        <w:rPr>
          <w:rFonts w:ascii="Calibri" w:hAnsi="Calibri" w:cs="Calibri"/>
          <w:color w:val="000000"/>
          <w:sz w:val="22"/>
          <w:szCs w:val="22"/>
        </w:rPr>
        <w:t xml:space="preserve"> international partners of EU and Ukrainian public sector institutions, including high-ranking officials. </w:t>
      </w:r>
    </w:p>
    <w:p w14:paraId="0F75285A" w14:textId="77777777" w:rsidR="00D6200B" w:rsidRPr="000051D4" w:rsidRDefault="00D6200B" w:rsidP="00D6200B">
      <w:pPr>
        <w:pStyle w:val="ListParagraph"/>
        <w:numPr>
          <w:ilvl w:val="0"/>
          <w:numId w:val="13"/>
        </w:numPr>
        <w:spacing w:line="276" w:lineRule="auto"/>
        <w:jc w:val="both"/>
        <w:rPr>
          <w:rFonts w:ascii="Calibri" w:hAnsi="Calibri" w:cs="Calibri"/>
          <w:sz w:val="22"/>
          <w:szCs w:val="22"/>
        </w:rPr>
      </w:pPr>
      <w:r w:rsidRPr="000051D4">
        <w:rPr>
          <w:rFonts w:ascii="Calibri" w:hAnsi="Calibri" w:cs="Calibri"/>
          <w:sz w:val="22"/>
          <w:szCs w:val="22"/>
          <w:lang w:eastAsia="ru-RU"/>
        </w:rPr>
        <w:t>The services are planned to be purchased for a period of 24 months. The customer will purchase the services as needed, i.e. it is not obliged to purchase services for the entire amount planned for the purchase.</w:t>
      </w:r>
    </w:p>
    <w:p w14:paraId="1C99C942" w14:textId="6D1853D1" w:rsidR="00D6200B" w:rsidRPr="000051D4" w:rsidRDefault="00D6200B" w:rsidP="00D6200B">
      <w:pPr>
        <w:pStyle w:val="ListParagraph"/>
        <w:numPr>
          <w:ilvl w:val="0"/>
          <w:numId w:val="13"/>
        </w:numPr>
        <w:spacing w:line="276" w:lineRule="auto"/>
        <w:jc w:val="both"/>
        <w:rPr>
          <w:rFonts w:ascii="Calibri" w:hAnsi="Calibri" w:cs="Calibri"/>
          <w:sz w:val="22"/>
          <w:szCs w:val="22"/>
        </w:rPr>
      </w:pPr>
      <w:r w:rsidRPr="000051D4">
        <w:rPr>
          <w:rFonts w:ascii="Calibri" w:hAnsi="Calibri" w:cs="Calibri"/>
          <w:color w:val="000000"/>
          <w:sz w:val="22"/>
          <w:szCs w:val="22"/>
        </w:rPr>
        <w:t>More than 70% of the events will be held remotely</w:t>
      </w:r>
      <w:r w:rsidR="002F48E4">
        <w:rPr>
          <w:rFonts w:ascii="Calibri" w:hAnsi="Calibri" w:cs="Calibri"/>
          <w:color w:val="000000"/>
          <w:sz w:val="22"/>
          <w:szCs w:val="22"/>
        </w:rPr>
        <w:t xml:space="preserve"> (i.e. online).</w:t>
      </w:r>
    </w:p>
    <w:p w14:paraId="52CAA42B" w14:textId="77777777" w:rsidR="00D6200B" w:rsidRPr="000051D4" w:rsidRDefault="00D6200B" w:rsidP="00D6200B">
      <w:pPr>
        <w:pStyle w:val="ListParagraph"/>
        <w:numPr>
          <w:ilvl w:val="0"/>
          <w:numId w:val="13"/>
        </w:numPr>
        <w:spacing w:line="276" w:lineRule="auto"/>
        <w:jc w:val="both"/>
        <w:rPr>
          <w:rFonts w:ascii="Calibri" w:hAnsi="Calibri" w:cs="Calibri"/>
          <w:sz w:val="22"/>
          <w:szCs w:val="22"/>
        </w:rPr>
      </w:pPr>
      <w:r w:rsidRPr="000051D4">
        <w:rPr>
          <w:rFonts w:ascii="Calibri" w:hAnsi="Calibri" w:cs="Calibri"/>
          <w:color w:val="000000"/>
          <w:sz w:val="22"/>
          <w:szCs w:val="22"/>
        </w:rPr>
        <w:lastRenderedPageBreak/>
        <w:t xml:space="preserve">More than 50% of physical events will take place in Kyiv, with the </w:t>
      </w:r>
      <w:r>
        <w:rPr>
          <w:rFonts w:ascii="Calibri" w:hAnsi="Calibri" w:cs="Calibri"/>
          <w:color w:val="000000"/>
          <w:sz w:val="22"/>
          <w:szCs w:val="22"/>
        </w:rPr>
        <w:t xml:space="preserve">remaining </w:t>
      </w:r>
      <w:r w:rsidRPr="000051D4">
        <w:rPr>
          <w:rFonts w:ascii="Calibri" w:hAnsi="Calibri" w:cs="Calibri"/>
          <w:color w:val="000000"/>
          <w:sz w:val="22"/>
          <w:szCs w:val="22"/>
        </w:rPr>
        <w:t xml:space="preserve">taking place in other Ukrainian cities.  </w:t>
      </w:r>
    </w:p>
    <w:p w14:paraId="4308F27E" w14:textId="77777777" w:rsidR="00D6200B" w:rsidRPr="000051D4" w:rsidRDefault="00D6200B" w:rsidP="00D6200B">
      <w:pPr>
        <w:pStyle w:val="ListParagraph"/>
        <w:spacing w:line="276" w:lineRule="auto"/>
        <w:ind w:left="360"/>
        <w:jc w:val="both"/>
        <w:rPr>
          <w:rFonts w:ascii="Calibri" w:hAnsi="Calibri" w:cs="Calibri"/>
          <w:sz w:val="22"/>
          <w:szCs w:val="22"/>
        </w:rPr>
      </w:pPr>
    </w:p>
    <w:p w14:paraId="75AD2EBF" w14:textId="56DDBE38" w:rsidR="00D6200B" w:rsidRPr="000051D4" w:rsidRDefault="00D26F94" w:rsidP="00D26F94">
      <w:pPr>
        <w:pStyle w:val="ListParagraph"/>
        <w:numPr>
          <w:ilvl w:val="0"/>
          <w:numId w:val="15"/>
        </w:numPr>
        <w:spacing w:line="276" w:lineRule="auto"/>
        <w:jc w:val="both"/>
        <w:rPr>
          <w:rFonts w:ascii="Calibri" w:hAnsi="Calibri" w:cs="Calibri"/>
          <w:b/>
          <w:bCs/>
          <w:sz w:val="22"/>
          <w:szCs w:val="22"/>
          <w:lang w:eastAsia="ru-RU"/>
        </w:rPr>
      </w:pPr>
      <w:r w:rsidRPr="00D26F94">
        <w:rPr>
          <w:rFonts w:ascii="Calibri" w:hAnsi="Calibri" w:cs="Calibri"/>
          <w:b/>
          <w:bCs/>
          <w:caps/>
          <w:sz w:val="22"/>
          <w:szCs w:val="22"/>
        </w:rPr>
        <w:t>PROCEDURE FOR PLACING, TRANSFERRING-ACCEPTING, AND EXECUTING ORDERS</w:t>
      </w:r>
    </w:p>
    <w:p w14:paraId="0FE75C69" w14:textId="77777777" w:rsidR="00D6200B" w:rsidRPr="000051D4" w:rsidRDefault="00D6200B" w:rsidP="00D6200B">
      <w:pPr>
        <w:numPr>
          <w:ilvl w:val="0"/>
          <w:numId w:val="13"/>
        </w:numPr>
        <w:tabs>
          <w:tab w:val="left" w:pos="851"/>
          <w:tab w:val="left" w:pos="1134"/>
          <w:tab w:val="left" w:pos="1418"/>
        </w:tabs>
        <w:spacing w:line="276" w:lineRule="auto"/>
        <w:contextualSpacing/>
        <w:jc w:val="both"/>
        <w:rPr>
          <w:rFonts w:ascii="Calibri" w:hAnsi="Calibri" w:cs="Calibri"/>
          <w:color w:val="000000"/>
          <w:sz w:val="22"/>
          <w:szCs w:val="22"/>
        </w:rPr>
      </w:pPr>
      <w:r w:rsidRPr="000051D4">
        <w:rPr>
          <w:rFonts w:ascii="Calibri" w:hAnsi="Calibri" w:cs="Calibri"/>
          <w:color w:val="000000"/>
          <w:sz w:val="22"/>
          <w:szCs w:val="22"/>
        </w:rPr>
        <w:t xml:space="preserve">Order placement:  </w:t>
      </w:r>
    </w:p>
    <w:p w14:paraId="39D0E7E9" w14:textId="77777777" w:rsidR="00D6200B" w:rsidRPr="000051D4" w:rsidRDefault="00D6200B" w:rsidP="00D6200B">
      <w:pPr>
        <w:numPr>
          <w:ilvl w:val="1"/>
          <w:numId w:val="13"/>
        </w:numPr>
        <w:tabs>
          <w:tab w:val="left" w:pos="851"/>
          <w:tab w:val="left" w:pos="1134"/>
        </w:tabs>
        <w:spacing w:line="276" w:lineRule="auto"/>
        <w:contextualSpacing/>
        <w:jc w:val="both"/>
        <w:rPr>
          <w:rFonts w:ascii="Calibri" w:hAnsi="Calibri" w:cs="Calibri"/>
          <w:color w:val="000000"/>
          <w:sz w:val="22"/>
          <w:szCs w:val="22"/>
        </w:rPr>
      </w:pPr>
      <w:r w:rsidRPr="000051D4">
        <w:rPr>
          <w:rFonts w:ascii="Calibri" w:hAnsi="Calibri" w:cs="Calibri"/>
          <w:color w:val="000000"/>
          <w:sz w:val="22"/>
          <w:szCs w:val="22"/>
        </w:rPr>
        <w:t>The Supplier shall provide interpreting services on any day and at any time and at the location specified by the Customer within Ukraine.</w:t>
      </w:r>
    </w:p>
    <w:p w14:paraId="1E5D9F3A" w14:textId="77777777" w:rsidR="00D6200B" w:rsidRPr="000051D4" w:rsidRDefault="00D6200B" w:rsidP="00D6200B">
      <w:pPr>
        <w:numPr>
          <w:ilvl w:val="1"/>
          <w:numId w:val="13"/>
        </w:numPr>
        <w:tabs>
          <w:tab w:val="left" w:pos="851"/>
          <w:tab w:val="left" w:pos="1134"/>
        </w:tabs>
        <w:spacing w:line="276" w:lineRule="auto"/>
        <w:contextualSpacing/>
        <w:jc w:val="both"/>
        <w:rPr>
          <w:rFonts w:ascii="Calibri" w:hAnsi="Calibri" w:cs="Calibri"/>
          <w:color w:val="000000"/>
          <w:sz w:val="22"/>
          <w:szCs w:val="22"/>
        </w:rPr>
      </w:pPr>
      <w:r w:rsidRPr="000051D4">
        <w:rPr>
          <w:rFonts w:ascii="Calibri" w:hAnsi="Calibri" w:cs="Calibri"/>
          <w:color w:val="000000"/>
          <w:sz w:val="22"/>
          <w:szCs w:val="22"/>
        </w:rPr>
        <w:t>the Customer shall submit orders for services to the Supplier no later than 3 working days before the date of provision of services</w:t>
      </w:r>
      <w:r>
        <w:rPr>
          <w:rFonts w:ascii="Calibri" w:hAnsi="Calibri" w:cs="Calibri"/>
          <w:color w:val="000000"/>
          <w:sz w:val="22"/>
          <w:szCs w:val="22"/>
        </w:rPr>
        <w:t xml:space="preserve">. </w:t>
      </w:r>
      <w:r w:rsidRPr="000051D4">
        <w:rPr>
          <w:rFonts w:ascii="Calibri" w:hAnsi="Calibri" w:cs="Calibri"/>
          <w:color w:val="000000"/>
          <w:sz w:val="22"/>
          <w:szCs w:val="22"/>
        </w:rPr>
        <w:t>The Customer shall have the right to purchase the Services on an urgent basis if necessary. Services purchased on an urgent basis shall be those Services that must be provided within the time limits agreed by the Parties, which shall be shorter than those specified in this clause.</w:t>
      </w:r>
    </w:p>
    <w:p w14:paraId="08B235C9" w14:textId="77777777" w:rsidR="00D6200B" w:rsidRPr="000051D4" w:rsidRDefault="00D6200B" w:rsidP="00D6200B">
      <w:pPr>
        <w:numPr>
          <w:ilvl w:val="1"/>
          <w:numId w:val="13"/>
        </w:numPr>
        <w:spacing w:line="276" w:lineRule="auto"/>
        <w:contextualSpacing/>
        <w:jc w:val="both"/>
        <w:rPr>
          <w:rFonts w:ascii="Calibri" w:hAnsi="Calibri" w:cs="Calibri"/>
          <w:color w:val="000000"/>
          <w:sz w:val="22"/>
          <w:szCs w:val="22"/>
        </w:rPr>
      </w:pPr>
      <w:r w:rsidRPr="000051D4">
        <w:rPr>
          <w:rFonts w:ascii="Calibri" w:hAnsi="Calibri" w:cs="Calibri"/>
          <w:color w:val="000000"/>
          <w:sz w:val="22"/>
          <w:szCs w:val="22"/>
        </w:rPr>
        <w:t xml:space="preserve"> The Customer shall specify in the order: </w:t>
      </w:r>
      <w:r w:rsidRPr="000051D4">
        <w:rPr>
          <w:rFonts w:ascii="Calibri" w:hAnsi="Calibri" w:cs="Calibri"/>
          <w:sz w:val="22"/>
          <w:szCs w:val="22"/>
        </w:rPr>
        <w:t>the subject, date, place, time, and format of the service. If necessary, the Customer shall also provide preliminary information about the status of the event and the requirements for the protocol.</w:t>
      </w:r>
    </w:p>
    <w:p w14:paraId="37C61EF6" w14:textId="77777777" w:rsidR="00D6200B" w:rsidRPr="000051D4" w:rsidRDefault="00D6200B" w:rsidP="00D6200B">
      <w:pPr>
        <w:pStyle w:val="ListParagraph"/>
        <w:numPr>
          <w:ilvl w:val="1"/>
          <w:numId w:val="13"/>
        </w:numPr>
        <w:tabs>
          <w:tab w:val="left" w:pos="851"/>
          <w:tab w:val="left" w:pos="1134"/>
        </w:tabs>
        <w:spacing w:line="276" w:lineRule="auto"/>
        <w:jc w:val="both"/>
        <w:rPr>
          <w:rFonts w:ascii="Calibri" w:hAnsi="Calibri" w:cs="Calibri"/>
          <w:color w:val="000000"/>
          <w:sz w:val="22"/>
          <w:szCs w:val="22"/>
        </w:rPr>
      </w:pPr>
      <w:r w:rsidRPr="000051D4">
        <w:rPr>
          <w:rFonts w:ascii="Calibri" w:hAnsi="Calibri" w:cs="Calibri"/>
          <w:color w:val="000000"/>
          <w:sz w:val="22"/>
          <w:szCs w:val="22"/>
        </w:rPr>
        <w:t xml:space="preserve">The </w:t>
      </w:r>
      <w:r>
        <w:rPr>
          <w:rFonts w:ascii="Calibri" w:hAnsi="Calibri" w:cs="Calibri"/>
          <w:color w:val="000000"/>
          <w:sz w:val="22"/>
          <w:szCs w:val="22"/>
        </w:rPr>
        <w:t>C</w:t>
      </w:r>
      <w:r w:rsidRPr="000051D4">
        <w:rPr>
          <w:rFonts w:ascii="Calibri" w:hAnsi="Calibri" w:cs="Calibri"/>
          <w:color w:val="000000"/>
          <w:sz w:val="22"/>
          <w:szCs w:val="22"/>
        </w:rPr>
        <w:t xml:space="preserve">ustomer shall, to the extent possible, provide </w:t>
      </w:r>
      <w:r>
        <w:rPr>
          <w:rFonts w:ascii="Calibri" w:hAnsi="Calibri" w:cs="Calibri"/>
          <w:color w:val="000000"/>
          <w:sz w:val="22"/>
          <w:szCs w:val="22"/>
        </w:rPr>
        <w:t>supporting</w:t>
      </w:r>
      <w:r w:rsidRPr="000051D4">
        <w:rPr>
          <w:rFonts w:ascii="Calibri" w:hAnsi="Calibri" w:cs="Calibri"/>
          <w:color w:val="000000"/>
          <w:sz w:val="22"/>
          <w:szCs w:val="22"/>
        </w:rPr>
        <w:t xml:space="preserve"> materials during the execution of the order, such as sources, term bases, related texts or references to them, and other relevant information necessary for the provision of high-quality services.</w:t>
      </w:r>
    </w:p>
    <w:p w14:paraId="469E8D06" w14:textId="77777777" w:rsidR="00D6200B" w:rsidRPr="000051D4" w:rsidRDefault="00D6200B" w:rsidP="00D6200B">
      <w:pPr>
        <w:pStyle w:val="ListParagraph"/>
        <w:numPr>
          <w:ilvl w:val="1"/>
          <w:numId w:val="13"/>
        </w:numPr>
        <w:tabs>
          <w:tab w:val="left" w:pos="851"/>
          <w:tab w:val="left" w:pos="1134"/>
        </w:tabs>
        <w:spacing w:line="276" w:lineRule="auto"/>
        <w:jc w:val="both"/>
        <w:rPr>
          <w:rFonts w:ascii="Calibri" w:hAnsi="Calibri" w:cs="Calibri"/>
          <w:color w:val="000000"/>
          <w:sz w:val="22"/>
          <w:szCs w:val="22"/>
        </w:rPr>
      </w:pPr>
      <w:r w:rsidRPr="000051D4">
        <w:rPr>
          <w:rFonts w:ascii="Calibri" w:hAnsi="Calibri" w:cs="Calibri"/>
          <w:color w:val="000000"/>
          <w:sz w:val="22"/>
          <w:szCs w:val="22"/>
        </w:rPr>
        <w:t>Upon receiving the order by email, the supplier shall calculate the price based on the information provided and submit it to the customer by email no later than within 1 working day of the date of receipt of the order, indicating the following information: a) services; b) price of services (including all costs and taxes); c) other relevant information, if necessary. The Customer shall evaluate the information provided and, if necessary, request clarification or confirm the order. The price may not exceed the rates specified in the Supplier's offer.</w:t>
      </w:r>
    </w:p>
    <w:p w14:paraId="4B94E7DC" w14:textId="77777777" w:rsidR="00D6200B" w:rsidRPr="000051D4" w:rsidRDefault="00D6200B" w:rsidP="00D6200B">
      <w:pPr>
        <w:numPr>
          <w:ilvl w:val="0"/>
          <w:numId w:val="13"/>
        </w:numPr>
        <w:tabs>
          <w:tab w:val="left" w:pos="851"/>
          <w:tab w:val="left" w:pos="1134"/>
          <w:tab w:val="left" w:pos="1418"/>
        </w:tabs>
        <w:spacing w:line="276" w:lineRule="auto"/>
        <w:contextualSpacing/>
        <w:jc w:val="both"/>
        <w:rPr>
          <w:rFonts w:ascii="Calibri" w:hAnsi="Calibri" w:cs="Calibri"/>
          <w:color w:val="000000"/>
          <w:sz w:val="22"/>
          <w:szCs w:val="22"/>
        </w:rPr>
      </w:pPr>
      <w:r w:rsidRPr="000051D4">
        <w:rPr>
          <w:rFonts w:ascii="Calibri" w:hAnsi="Calibri" w:cs="Calibri"/>
          <w:color w:val="000000"/>
          <w:sz w:val="22"/>
          <w:szCs w:val="22"/>
        </w:rPr>
        <w:t>Order transmission and acceptance:</w:t>
      </w:r>
    </w:p>
    <w:p w14:paraId="2A8FC41B" w14:textId="1D35ABCB" w:rsidR="00D6200B" w:rsidRPr="000051D4" w:rsidRDefault="00D6200B" w:rsidP="00D6200B">
      <w:pPr>
        <w:numPr>
          <w:ilvl w:val="1"/>
          <w:numId w:val="13"/>
        </w:numPr>
        <w:tabs>
          <w:tab w:val="left" w:pos="851"/>
          <w:tab w:val="left" w:pos="1134"/>
          <w:tab w:val="left" w:pos="1418"/>
        </w:tabs>
        <w:spacing w:line="276" w:lineRule="auto"/>
        <w:contextualSpacing/>
        <w:jc w:val="both"/>
        <w:rPr>
          <w:rFonts w:ascii="Calibri" w:hAnsi="Calibri" w:cs="Calibri"/>
          <w:sz w:val="22"/>
          <w:szCs w:val="22"/>
        </w:rPr>
      </w:pPr>
      <w:r w:rsidRPr="000051D4">
        <w:rPr>
          <w:rFonts w:ascii="Calibri" w:hAnsi="Calibri" w:cs="Calibri"/>
          <w:sz w:val="22"/>
          <w:szCs w:val="22"/>
        </w:rPr>
        <w:t>The Customer shall send the order to by</w:t>
      </w:r>
      <w:r w:rsidRPr="000051D4">
        <w:rPr>
          <w:rFonts w:ascii="Calibri" w:hAnsi="Calibri" w:cs="Calibri"/>
          <w:color w:val="000000"/>
          <w:sz w:val="22"/>
          <w:szCs w:val="22"/>
        </w:rPr>
        <w:t xml:space="preserve"> e-mail. </w:t>
      </w:r>
      <w:r w:rsidRPr="000051D4">
        <w:rPr>
          <w:rFonts w:ascii="Calibri" w:hAnsi="Calibri" w:cs="Calibri"/>
          <w:sz w:val="22"/>
          <w:szCs w:val="22"/>
        </w:rPr>
        <w:t xml:space="preserve">If necessary, the Customer shall additionally inform the Supplier about the order sent by </w:t>
      </w:r>
      <w:r w:rsidR="00AC3E9B" w:rsidRPr="000051D4">
        <w:rPr>
          <w:rFonts w:ascii="Calibri" w:hAnsi="Calibri" w:cs="Calibri"/>
          <w:sz w:val="22"/>
          <w:szCs w:val="22"/>
        </w:rPr>
        <w:t>telephone.</w:t>
      </w:r>
    </w:p>
    <w:p w14:paraId="686309D6" w14:textId="03A4E36B" w:rsidR="00D6200B" w:rsidRPr="000051D4" w:rsidRDefault="00D6200B" w:rsidP="00D6200B">
      <w:pPr>
        <w:numPr>
          <w:ilvl w:val="1"/>
          <w:numId w:val="13"/>
        </w:numPr>
        <w:tabs>
          <w:tab w:val="left" w:pos="851"/>
          <w:tab w:val="left" w:pos="1134"/>
          <w:tab w:val="left" w:pos="1418"/>
        </w:tabs>
        <w:spacing w:line="276" w:lineRule="auto"/>
        <w:contextualSpacing/>
        <w:jc w:val="both"/>
        <w:rPr>
          <w:rFonts w:ascii="Calibri" w:hAnsi="Calibri" w:cs="Calibri"/>
          <w:sz w:val="22"/>
          <w:szCs w:val="22"/>
        </w:rPr>
      </w:pPr>
      <w:r w:rsidRPr="000051D4">
        <w:rPr>
          <w:rFonts w:ascii="Calibri" w:hAnsi="Calibri" w:cs="Calibri"/>
          <w:color w:val="000000"/>
          <w:sz w:val="22"/>
          <w:szCs w:val="22"/>
        </w:rPr>
        <w:t xml:space="preserve">The Customer shall send orders to the Supplier on the Customer's working days, from 7 a.m. to </w:t>
      </w:r>
      <w:r w:rsidR="00AC3E9B" w:rsidRPr="000051D4">
        <w:rPr>
          <w:rFonts w:ascii="Calibri" w:hAnsi="Calibri" w:cs="Calibri"/>
          <w:color w:val="000000"/>
          <w:sz w:val="22"/>
          <w:szCs w:val="22"/>
        </w:rPr>
        <w:t>6 p.m.</w:t>
      </w:r>
      <w:r w:rsidRPr="000051D4">
        <w:rPr>
          <w:rFonts w:ascii="Calibri" w:hAnsi="Calibri" w:cs="Calibri"/>
          <w:color w:val="000000"/>
          <w:sz w:val="22"/>
          <w:szCs w:val="22"/>
        </w:rPr>
        <w:t xml:space="preserve"> </w:t>
      </w:r>
    </w:p>
    <w:p w14:paraId="3A7D4244" w14:textId="77777777" w:rsidR="00D6200B" w:rsidRPr="000051D4" w:rsidRDefault="00D6200B" w:rsidP="00D6200B">
      <w:pPr>
        <w:numPr>
          <w:ilvl w:val="1"/>
          <w:numId w:val="13"/>
        </w:numPr>
        <w:tabs>
          <w:tab w:val="left" w:pos="851"/>
          <w:tab w:val="left" w:pos="1134"/>
          <w:tab w:val="left" w:pos="1418"/>
        </w:tabs>
        <w:spacing w:line="276" w:lineRule="auto"/>
        <w:contextualSpacing/>
        <w:jc w:val="both"/>
        <w:rPr>
          <w:rFonts w:ascii="Calibri" w:hAnsi="Calibri" w:cs="Calibri"/>
          <w:sz w:val="22"/>
          <w:szCs w:val="22"/>
        </w:rPr>
      </w:pPr>
      <w:r w:rsidRPr="000051D4">
        <w:rPr>
          <w:rFonts w:ascii="Calibri" w:hAnsi="Calibri" w:cs="Calibri"/>
          <w:sz w:val="22"/>
          <w:szCs w:val="22"/>
        </w:rPr>
        <w:t xml:space="preserve">The Supplier shall coordinate all organizational issues with the Customer's contact person specified in the Contract. The Customer may change the contact person during the term of the Contract by notifying the Supplier separately. </w:t>
      </w:r>
    </w:p>
    <w:p w14:paraId="7263F747" w14:textId="50558F7E" w:rsidR="00D6200B" w:rsidRPr="000051D4" w:rsidRDefault="00D6200B" w:rsidP="00D6200B">
      <w:pPr>
        <w:numPr>
          <w:ilvl w:val="0"/>
          <w:numId w:val="13"/>
        </w:numPr>
        <w:tabs>
          <w:tab w:val="left" w:pos="284"/>
          <w:tab w:val="left" w:pos="851"/>
          <w:tab w:val="left" w:pos="1134"/>
          <w:tab w:val="left" w:pos="1418"/>
        </w:tabs>
        <w:spacing w:line="276" w:lineRule="auto"/>
        <w:contextualSpacing/>
        <w:jc w:val="both"/>
        <w:rPr>
          <w:rFonts w:ascii="Calibri" w:hAnsi="Calibri" w:cs="Calibri"/>
          <w:b/>
          <w:bCs/>
          <w:sz w:val="22"/>
          <w:szCs w:val="22"/>
          <w:lang w:eastAsia="ru-RU"/>
        </w:rPr>
      </w:pPr>
      <w:r w:rsidRPr="000051D4">
        <w:rPr>
          <w:rFonts w:ascii="Calibri" w:hAnsi="Calibri" w:cs="Calibri"/>
          <w:sz w:val="22"/>
          <w:szCs w:val="22"/>
        </w:rPr>
        <w:t xml:space="preserve"> The Supplier shall ensure that it has </w:t>
      </w:r>
      <w:r w:rsidR="00AC3E9B" w:rsidRPr="000051D4">
        <w:rPr>
          <w:rFonts w:ascii="Calibri" w:hAnsi="Calibri" w:cs="Calibri"/>
          <w:sz w:val="22"/>
          <w:szCs w:val="22"/>
        </w:rPr>
        <w:t>enough</w:t>
      </w:r>
      <w:r w:rsidRPr="000051D4">
        <w:rPr>
          <w:rFonts w:ascii="Calibri" w:hAnsi="Calibri" w:cs="Calibri"/>
          <w:sz w:val="22"/>
          <w:szCs w:val="22"/>
        </w:rPr>
        <w:t xml:space="preserve"> specialists who are able to provide the services in a timely and high-quality manner. The Service Provider shall </w:t>
      </w:r>
      <w:r w:rsidR="00AC3E9B" w:rsidRPr="000051D4">
        <w:rPr>
          <w:rFonts w:ascii="Calibri" w:hAnsi="Calibri" w:cs="Calibri"/>
          <w:sz w:val="22"/>
          <w:szCs w:val="22"/>
        </w:rPr>
        <w:t>consider</w:t>
      </w:r>
      <w:r w:rsidRPr="000051D4">
        <w:rPr>
          <w:rFonts w:ascii="Calibri" w:hAnsi="Calibri" w:cs="Calibri"/>
          <w:sz w:val="22"/>
          <w:szCs w:val="22"/>
        </w:rPr>
        <w:t xml:space="preserve"> that the Customer may need up to four interpreters at the same time. Such a need for interpreters may arise if two projects requiring </w:t>
      </w:r>
      <w:r>
        <w:rPr>
          <w:rFonts w:ascii="Calibri" w:hAnsi="Calibri" w:cs="Calibri"/>
          <w:sz w:val="22"/>
          <w:szCs w:val="22"/>
        </w:rPr>
        <w:t>interpretation</w:t>
      </w:r>
      <w:r w:rsidRPr="000051D4">
        <w:rPr>
          <w:rFonts w:ascii="Calibri" w:hAnsi="Calibri" w:cs="Calibri"/>
          <w:sz w:val="22"/>
          <w:szCs w:val="22"/>
        </w:rPr>
        <w:t xml:space="preserve"> services are taking place at the same time. </w:t>
      </w:r>
    </w:p>
    <w:p w14:paraId="00125110" w14:textId="77777777" w:rsidR="00D6200B" w:rsidRPr="000051D4" w:rsidRDefault="00D6200B" w:rsidP="00D6200B">
      <w:pPr>
        <w:tabs>
          <w:tab w:val="left" w:pos="284"/>
          <w:tab w:val="left" w:pos="851"/>
          <w:tab w:val="left" w:pos="1134"/>
          <w:tab w:val="left" w:pos="1418"/>
        </w:tabs>
        <w:spacing w:line="276" w:lineRule="auto"/>
        <w:ind w:left="360"/>
        <w:contextualSpacing/>
        <w:jc w:val="both"/>
        <w:rPr>
          <w:rFonts w:ascii="Calibri" w:hAnsi="Calibri" w:cs="Calibri"/>
          <w:b/>
          <w:bCs/>
          <w:sz w:val="22"/>
          <w:szCs w:val="22"/>
          <w:lang w:eastAsia="ru-RU"/>
        </w:rPr>
      </w:pPr>
    </w:p>
    <w:p w14:paraId="59BC8670" w14:textId="4B88B8BF" w:rsidR="00D6200B" w:rsidRPr="00D26F94" w:rsidRDefault="00D6200B" w:rsidP="00D26F94">
      <w:pPr>
        <w:pStyle w:val="ListParagraph"/>
        <w:numPr>
          <w:ilvl w:val="0"/>
          <w:numId w:val="15"/>
        </w:numPr>
        <w:tabs>
          <w:tab w:val="left" w:pos="0"/>
          <w:tab w:val="left" w:pos="851"/>
          <w:tab w:val="left" w:pos="1134"/>
          <w:tab w:val="left" w:pos="1418"/>
        </w:tabs>
        <w:spacing w:line="276" w:lineRule="auto"/>
        <w:jc w:val="center"/>
        <w:rPr>
          <w:rFonts w:ascii="Calibri" w:hAnsi="Calibri" w:cs="Calibri"/>
          <w:b/>
          <w:caps/>
          <w:color w:val="000000"/>
          <w:sz w:val="22"/>
          <w:szCs w:val="22"/>
        </w:rPr>
      </w:pPr>
      <w:r w:rsidRPr="00D26F94">
        <w:rPr>
          <w:rFonts w:ascii="Calibri" w:hAnsi="Calibri" w:cs="Calibri"/>
          <w:b/>
          <w:caps/>
          <w:color w:val="000000"/>
          <w:sz w:val="22"/>
          <w:szCs w:val="22"/>
        </w:rPr>
        <w:t xml:space="preserve">SCOPE OF SERVICES </w:t>
      </w:r>
    </w:p>
    <w:p w14:paraId="307E564C" w14:textId="77777777" w:rsidR="00D6200B" w:rsidRPr="000051D4" w:rsidRDefault="00D6200B" w:rsidP="00D6200B">
      <w:pPr>
        <w:tabs>
          <w:tab w:val="left" w:pos="284"/>
          <w:tab w:val="left" w:pos="851"/>
          <w:tab w:val="left" w:pos="1134"/>
          <w:tab w:val="left" w:pos="1418"/>
        </w:tabs>
        <w:spacing w:line="276" w:lineRule="auto"/>
        <w:ind w:left="360"/>
        <w:contextualSpacing/>
        <w:jc w:val="both"/>
        <w:rPr>
          <w:rFonts w:ascii="Calibri" w:hAnsi="Calibri" w:cs="Calibri"/>
          <w:b/>
          <w:bCs/>
          <w:sz w:val="22"/>
          <w:szCs w:val="22"/>
          <w:lang w:eastAsia="ru-RU"/>
        </w:rPr>
      </w:pPr>
    </w:p>
    <w:p w14:paraId="79C18064" w14:textId="77777777" w:rsidR="00D6200B" w:rsidRPr="000051D4" w:rsidRDefault="00D6200B" w:rsidP="00D6200B">
      <w:pPr>
        <w:pStyle w:val="ListParagraph"/>
        <w:numPr>
          <w:ilvl w:val="0"/>
          <w:numId w:val="13"/>
        </w:numPr>
        <w:tabs>
          <w:tab w:val="left" w:pos="284"/>
          <w:tab w:val="left" w:pos="851"/>
          <w:tab w:val="left" w:pos="1134"/>
          <w:tab w:val="left" w:pos="1418"/>
        </w:tabs>
        <w:spacing w:line="276" w:lineRule="auto"/>
        <w:jc w:val="both"/>
        <w:rPr>
          <w:rFonts w:ascii="Calibri" w:hAnsi="Calibri" w:cs="Calibri"/>
          <w:b/>
          <w:bCs/>
          <w:sz w:val="22"/>
          <w:szCs w:val="22"/>
          <w:lang w:eastAsia="ru-RU"/>
        </w:rPr>
      </w:pPr>
      <w:r w:rsidRPr="000051D4">
        <w:rPr>
          <w:rFonts w:ascii="Calibri" w:hAnsi="Calibri" w:cs="Calibri"/>
          <w:sz w:val="22"/>
          <w:szCs w:val="22"/>
        </w:rPr>
        <w:t xml:space="preserve"> There is no limit to the number and scope of services ordered at one time.</w:t>
      </w:r>
    </w:p>
    <w:p w14:paraId="0F6773EB" w14:textId="77777777" w:rsidR="00D6200B" w:rsidRPr="000051D4" w:rsidRDefault="00D6200B" w:rsidP="00D6200B">
      <w:pPr>
        <w:pStyle w:val="ListParagraph"/>
        <w:numPr>
          <w:ilvl w:val="0"/>
          <w:numId w:val="13"/>
        </w:numPr>
        <w:tabs>
          <w:tab w:val="left" w:pos="284"/>
          <w:tab w:val="left" w:pos="851"/>
          <w:tab w:val="left" w:pos="1134"/>
          <w:tab w:val="left" w:pos="1418"/>
        </w:tabs>
        <w:spacing w:line="276" w:lineRule="auto"/>
        <w:jc w:val="both"/>
        <w:rPr>
          <w:rFonts w:ascii="Calibri" w:hAnsi="Calibri" w:cs="Calibri"/>
          <w:b/>
          <w:bCs/>
          <w:sz w:val="22"/>
          <w:szCs w:val="22"/>
          <w:lang w:eastAsia="ru-RU"/>
        </w:rPr>
      </w:pPr>
      <w:r w:rsidRPr="000051D4">
        <w:rPr>
          <w:rFonts w:ascii="Calibri" w:hAnsi="Calibri" w:cs="Calibri"/>
          <w:sz w:val="22"/>
          <w:szCs w:val="22"/>
        </w:rPr>
        <w:t xml:space="preserve"> All services are purchased for events taking place in Ukraine.  In the case of urgent </w:t>
      </w:r>
      <w:r>
        <w:rPr>
          <w:rFonts w:ascii="Calibri" w:hAnsi="Calibri" w:cs="Calibri"/>
          <w:sz w:val="22"/>
          <w:szCs w:val="22"/>
        </w:rPr>
        <w:t>interpretation</w:t>
      </w:r>
      <w:r w:rsidRPr="000051D4">
        <w:rPr>
          <w:rFonts w:ascii="Calibri" w:hAnsi="Calibri" w:cs="Calibri"/>
          <w:sz w:val="22"/>
          <w:szCs w:val="22"/>
        </w:rPr>
        <w:t xml:space="preserve">, when physical events are taking place and on-site </w:t>
      </w:r>
      <w:r>
        <w:rPr>
          <w:rFonts w:ascii="Calibri" w:hAnsi="Calibri" w:cs="Calibri"/>
          <w:sz w:val="22"/>
          <w:szCs w:val="22"/>
        </w:rPr>
        <w:t>interpretation</w:t>
      </w:r>
      <w:r w:rsidRPr="000051D4">
        <w:rPr>
          <w:rFonts w:ascii="Calibri" w:hAnsi="Calibri" w:cs="Calibri"/>
          <w:sz w:val="22"/>
          <w:szCs w:val="22"/>
        </w:rPr>
        <w:t xml:space="preserve"> is required, the supplier must ensure that the interpreter(s) arrive at the location within the time limit specified by the Customer, which shall be less than 3 working days and not less than 24 hours. </w:t>
      </w:r>
    </w:p>
    <w:p w14:paraId="0ED6ADF4" w14:textId="77777777" w:rsidR="00D6200B" w:rsidRPr="000051D4" w:rsidRDefault="00D6200B" w:rsidP="00D6200B">
      <w:pPr>
        <w:pStyle w:val="ListParagraph"/>
        <w:numPr>
          <w:ilvl w:val="0"/>
          <w:numId w:val="13"/>
        </w:numPr>
        <w:tabs>
          <w:tab w:val="left" w:pos="284"/>
          <w:tab w:val="left" w:pos="851"/>
          <w:tab w:val="left" w:pos="1134"/>
          <w:tab w:val="left" w:pos="1418"/>
        </w:tabs>
        <w:spacing w:line="276" w:lineRule="auto"/>
        <w:jc w:val="both"/>
        <w:rPr>
          <w:rFonts w:ascii="Calibri" w:hAnsi="Calibri" w:cs="Calibri"/>
          <w:b/>
          <w:sz w:val="22"/>
          <w:szCs w:val="22"/>
          <w:lang w:eastAsia="ru-RU"/>
        </w:rPr>
      </w:pPr>
      <w:r w:rsidRPr="000051D4">
        <w:rPr>
          <w:rFonts w:ascii="Calibri" w:hAnsi="Calibri" w:cs="Calibri"/>
          <w:sz w:val="22"/>
          <w:szCs w:val="22"/>
        </w:rPr>
        <w:t xml:space="preserve"> The pricing for the payment of services is based on the contract performance costs: </w:t>
      </w:r>
    </w:p>
    <w:p w14:paraId="5CDC2A3A" w14:textId="77777777" w:rsidR="00D6200B" w:rsidRDefault="00D6200B" w:rsidP="00D6200B">
      <w:pPr>
        <w:tabs>
          <w:tab w:val="left" w:pos="567"/>
          <w:tab w:val="left" w:pos="1418"/>
          <w:tab w:val="left" w:pos="1985"/>
        </w:tabs>
        <w:spacing w:line="276" w:lineRule="auto"/>
        <w:jc w:val="both"/>
        <w:rPr>
          <w:rFonts w:ascii="Calibri" w:hAnsi="Calibri" w:cs="Calibri"/>
          <w:kern w:val="2"/>
          <w:sz w:val="22"/>
          <w:szCs w:val="22"/>
        </w:rPr>
      </w:pPr>
      <w:r>
        <w:rPr>
          <w:rFonts w:ascii="Calibri" w:hAnsi="Calibri" w:cs="Calibri"/>
          <w:kern w:val="2"/>
          <w:sz w:val="22"/>
          <w:szCs w:val="22"/>
        </w:rPr>
        <w:t xml:space="preserve">Part 1 </w:t>
      </w:r>
      <w:r w:rsidRPr="00AD3BE5">
        <w:rPr>
          <w:rFonts w:ascii="Calibri" w:hAnsi="Calibri" w:cs="Calibri"/>
          <w:kern w:val="2"/>
          <w:sz w:val="22"/>
          <w:szCs w:val="22"/>
        </w:rPr>
        <w:t>– a fixed rate, i.e. the supplier will be paid according to the rates specified in the supplier's offer.</w:t>
      </w:r>
    </w:p>
    <w:p w14:paraId="054CE2F1" w14:textId="77777777" w:rsidR="00D6200B" w:rsidRPr="000051D4" w:rsidRDefault="00D6200B" w:rsidP="00D6200B">
      <w:pPr>
        <w:tabs>
          <w:tab w:val="left" w:pos="567"/>
          <w:tab w:val="left" w:pos="1418"/>
          <w:tab w:val="left" w:pos="1985"/>
        </w:tabs>
        <w:spacing w:line="276" w:lineRule="auto"/>
        <w:jc w:val="both"/>
        <w:rPr>
          <w:rFonts w:ascii="Calibri" w:hAnsi="Calibri" w:cs="Calibri"/>
          <w:kern w:val="2"/>
          <w:sz w:val="22"/>
          <w:szCs w:val="22"/>
        </w:rPr>
      </w:pPr>
      <w:r>
        <w:rPr>
          <w:rFonts w:ascii="Calibri" w:hAnsi="Calibri" w:cs="Calibri"/>
          <w:kern w:val="2"/>
          <w:sz w:val="22"/>
          <w:szCs w:val="22"/>
        </w:rPr>
        <w:lastRenderedPageBreak/>
        <w:t xml:space="preserve">Part 2 </w:t>
      </w:r>
      <w:r w:rsidRPr="000051D4">
        <w:rPr>
          <w:rFonts w:ascii="Calibri" w:hAnsi="Calibri" w:cs="Calibri"/>
          <w:kern w:val="2"/>
          <w:sz w:val="22"/>
          <w:szCs w:val="22"/>
        </w:rPr>
        <w:t xml:space="preserve">– in cases where </w:t>
      </w:r>
      <w:r>
        <w:rPr>
          <w:rFonts w:ascii="Calibri" w:hAnsi="Calibri" w:cs="Calibri"/>
          <w:kern w:val="2"/>
          <w:sz w:val="22"/>
          <w:szCs w:val="22"/>
        </w:rPr>
        <w:t>interpretation</w:t>
      </w:r>
      <w:r w:rsidRPr="000051D4">
        <w:rPr>
          <w:rFonts w:ascii="Calibri" w:hAnsi="Calibri" w:cs="Calibri"/>
          <w:kern w:val="2"/>
          <w:sz w:val="22"/>
          <w:szCs w:val="22"/>
        </w:rPr>
        <w:t xml:space="preserve"> services are required for an event taking place outside the city of Kyiv, the supplier's actual travel expenses directly related to the performance of the contract (i.e., accommodation</w:t>
      </w:r>
      <w:r w:rsidRPr="000051D4">
        <w:rPr>
          <w:rStyle w:val="FootnoteReference"/>
          <w:rFonts w:ascii="Calibri" w:hAnsi="Calibri" w:cs="Calibri"/>
          <w:kern w:val="2"/>
          <w:sz w:val="22"/>
          <w:szCs w:val="22"/>
        </w:rPr>
        <w:footnoteReference w:id="2"/>
      </w:r>
      <w:r w:rsidRPr="000051D4">
        <w:rPr>
          <w:rFonts w:ascii="Calibri" w:hAnsi="Calibri" w:cs="Calibri"/>
          <w:kern w:val="2"/>
          <w:sz w:val="22"/>
          <w:szCs w:val="22"/>
        </w:rPr>
        <w:t>, transport costs</w:t>
      </w:r>
      <w:r>
        <w:rPr>
          <w:rFonts w:ascii="Calibri" w:hAnsi="Calibri" w:cs="Calibri"/>
          <w:kern w:val="2"/>
          <w:sz w:val="22"/>
          <w:szCs w:val="22"/>
        </w:rPr>
        <w:t xml:space="preserve"> by land</w:t>
      </w:r>
      <w:r w:rsidRPr="000051D4">
        <w:rPr>
          <w:rFonts w:ascii="Calibri" w:hAnsi="Calibri" w:cs="Calibri"/>
          <w:kern w:val="2"/>
          <w:sz w:val="22"/>
          <w:szCs w:val="22"/>
        </w:rPr>
        <w:t>) shall be reimbursed only within the territory of Ukraine and only outside the city of Kyiv.</w:t>
      </w:r>
    </w:p>
    <w:p w14:paraId="71AAF24B" w14:textId="77777777" w:rsidR="00D6200B" w:rsidRPr="000051D4" w:rsidRDefault="00D6200B" w:rsidP="00D6200B">
      <w:pPr>
        <w:jc w:val="both"/>
        <w:rPr>
          <w:rFonts w:ascii="Calibri" w:hAnsi="Calibri" w:cs="Calibri"/>
          <w:kern w:val="2"/>
          <w:sz w:val="22"/>
          <w:szCs w:val="22"/>
        </w:rPr>
      </w:pPr>
    </w:p>
    <w:p w14:paraId="461E10AC" w14:textId="77777777" w:rsidR="00D6200B" w:rsidRPr="000051D4" w:rsidRDefault="00D6200B" w:rsidP="00D6200B">
      <w:pPr>
        <w:pStyle w:val="ListParagraph"/>
        <w:numPr>
          <w:ilvl w:val="0"/>
          <w:numId w:val="13"/>
        </w:numPr>
        <w:jc w:val="both"/>
        <w:rPr>
          <w:rFonts w:ascii="Calibri" w:hAnsi="Calibri" w:cs="Calibri"/>
          <w:sz w:val="22"/>
          <w:szCs w:val="22"/>
        </w:rPr>
      </w:pPr>
      <w:r w:rsidRPr="000051D4">
        <w:rPr>
          <w:rFonts w:ascii="Calibri" w:hAnsi="Calibri" w:cs="Calibri"/>
          <w:sz w:val="22"/>
          <w:szCs w:val="22"/>
        </w:rPr>
        <w:t>Scope of services:</w:t>
      </w:r>
    </w:p>
    <w:tbl>
      <w:tblPr>
        <w:tblStyle w:val="TableGrid"/>
        <w:tblW w:w="0" w:type="auto"/>
        <w:tblLook w:val="04A0" w:firstRow="1" w:lastRow="0" w:firstColumn="1" w:lastColumn="0" w:noHBand="0" w:noVBand="1"/>
      </w:tblPr>
      <w:tblGrid>
        <w:gridCol w:w="997"/>
        <w:gridCol w:w="8631"/>
      </w:tblGrid>
      <w:tr w:rsidR="00D6200B" w:rsidRPr="000051D4" w14:paraId="2F060519" w14:textId="77777777" w:rsidTr="00602D5C">
        <w:tc>
          <w:tcPr>
            <w:tcW w:w="997" w:type="dxa"/>
          </w:tcPr>
          <w:p w14:paraId="0A725FD8" w14:textId="77777777" w:rsidR="00D6200B" w:rsidRPr="000051D4" w:rsidRDefault="00D6200B" w:rsidP="00602D5C">
            <w:pPr>
              <w:spacing w:line="276" w:lineRule="auto"/>
              <w:jc w:val="center"/>
              <w:rPr>
                <w:rFonts w:ascii="Calibri" w:hAnsi="Calibri" w:cs="Calibri"/>
                <w:sz w:val="22"/>
                <w:szCs w:val="22"/>
                <w:lang w:eastAsia="ru-RU"/>
              </w:rPr>
            </w:pPr>
            <w:r w:rsidRPr="000051D4">
              <w:rPr>
                <w:rFonts w:ascii="Calibri" w:hAnsi="Calibri" w:cs="Calibri"/>
                <w:b/>
                <w:bCs/>
                <w:sz w:val="22"/>
                <w:szCs w:val="22"/>
                <w:lang w:eastAsia="ru-RU"/>
              </w:rPr>
              <w:t>No</w:t>
            </w:r>
          </w:p>
        </w:tc>
        <w:tc>
          <w:tcPr>
            <w:tcW w:w="8631" w:type="dxa"/>
            <w:vAlign w:val="center"/>
          </w:tcPr>
          <w:p w14:paraId="60D38E46" w14:textId="52E623A9" w:rsidR="00D6200B" w:rsidRPr="00027EB2" w:rsidRDefault="00027EB2" w:rsidP="00602D5C">
            <w:pPr>
              <w:spacing w:line="276" w:lineRule="auto"/>
              <w:jc w:val="center"/>
              <w:rPr>
                <w:rFonts w:ascii="Calibri" w:hAnsi="Calibri" w:cs="Calibri"/>
                <w:b/>
                <w:sz w:val="22"/>
                <w:szCs w:val="22"/>
                <w:lang w:eastAsia="ru-RU"/>
              </w:rPr>
            </w:pPr>
            <w:r w:rsidRPr="00027EB2">
              <w:rPr>
                <w:rFonts w:ascii="Calibri" w:hAnsi="Calibri" w:cs="Calibri"/>
                <w:b/>
                <w:bCs/>
                <w:sz w:val="22"/>
                <w:szCs w:val="22"/>
                <w:lang w:eastAsia="ru-RU"/>
              </w:rPr>
              <w:t>Consecutive interpretation</w:t>
            </w:r>
            <w:r w:rsidRPr="000051D4">
              <w:rPr>
                <w:rStyle w:val="FootnoteReference"/>
                <w:rFonts w:ascii="Calibri" w:hAnsi="Calibri" w:cs="Calibri"/>
                <w:b/>
                <w:bCs/>
                <w:sz w:val="22"/>
                <w:szCs w:val="22"/>
                <w:lang w:eastAsia="ru-RU"/>
              </w:rPr>
              <w:footnoteReference w:id="3"/>
            </w:r>
          </w:p>
        </w:tc>
      </w:tr>
      <w:tr w:rsidR="00D6200B" w:rsidRPr="000051D4" w14:paraId="7C9A5247" w14:textId="77777777" w:rsidTr="00602D5C">
        <w:tc>
          <w:tcPr>
            <w:tcW w:w="9628" w:type="dxa"/>
            <w:gridSpan w:val="2"/>
          </w:tcPr>
          <w:p w14:paraId="14FE589E" w14:textId="6881C6B2" w:rsidR="00D6200B" w:rsidRPr="000051D4" w:rsidRDefault="00D6200B" w:rsidP="00027EB2">
            <w:pPr>
              <w:spacing w:line="276" w:lineRule="auto"/>
              <w:rPr>
                <w:rFonts w:ascii="Calibri" w:hAnsi="Calibri" w:cs="Calibri"/>
                <w:sz w:val="22"/>
                <w:szCs w:val="22"/>
                <w:lang w:eastAsia="ru-RU"/>
              </w:rPr>
            </w:pPr>
          </w:p>
        </w:tc>
      </w:tr>
      <w:tr w:rsidR="00D6200B" w:rsidRPr="000051D4" w14:paraId="790A25DF" w14:textId="77777777" w:rsidTr="00602D5C">
        <w:tc>
          <w:tcPr>
            <w:tcW w:w="997" w:type="dxa"/>
          </w:tcPr>
          <w:p w14:paraId="4753666D" w14:textId="77777777" w:rsidR="00D6200B" w:rsidRPr="000051D4" w:rsidRDefault="00D6200B" w:rsidP="00602D5C">
            <w:pPr>
              <w:spacing w:line="276" w:lineRule="auto"/>
              <w:rPr>
                <w:rFonts w:ascii="Calibri" w:hAnsi="Calibri" w:cs="Calibri"/>
                <w:sz w:val="22"/>
                <w:szCs w:val="22"/>
                <w:lang w:eastAsia="ru-RU"/>
              </w:rPr>
            </w:pPr>
            <w:r w:rsidRPr="000051D4">
              <w:rPr>
                <w:rFonts w:ascii="Calibri" w:hAnsi="Calibri" w:cs="Calibri"/>
                <w:sz w:val="22"/>
                <w:szCs w:val="22"/>
                <w:lang w:eastAsia="ru-RU"/>
              </w:rPr>
              <w:t>15.</w:t>
            </w:r>
            <w:r>
              <w:rPr>
                <w:rFonts w:ascii="Calibri" w:hAnsi="Calibri" w:cs="Calibri"/>
                <w:sz w:val="22"/>
                <w:szCs w:val="22"/>
                <w:lang w:eastAsia="ru-RU"/>
              </w:rPr>
              <w:t>1</w:t>
            </w:r>
          </w:p>
        </w:tc>
        <w:tc>
          <w:tcPr>
            <w:tcW w:w="8631" w:type="dxa"/>
            <w:vAlign w:val="center"/>
          </w:tcPr>
          <w:p w14:paraId="658D4E85" w14:textId="63BCD88D" w:rsidR="00D6200B" w:rsidRPr="000051D4" w:rsidRDefault="00D6200B" w:rsidP="00602D5C">
            <w:pPr>
              <w:spacing w:line="276" w:lineRule="auto"/>
              <w:rPr>
                <w:rFonts w:ascii="Calibri" w:hAnsi="Calibri" w:cs="Calibri"/>
                <w:sz w:val="22"/>
                <w:szCs w:val="22"/>
                <w:lang w:eastAsia="ru-RU"/>
              </w:rPr>
            </w:pPr>
            <w:r w:rsidRPr="000051D4">
              <w:rPr>
                <w:rFonts w:ascii="Calibri" w:hAnsi="Calibri" w:cs="Calibri"/>
                <w:sz w:val="22"/>
                <w:szCs w:val="22"/>
                <w:lang w:eastAsia="ru-RU"/>
              </w:rPr>
              <w:t xml:space="preserve">Consecutive interpretation up to 1 hour </w:t>
            </w:r>
            <w:r w:rsidRPr="000051D4">
              <w:rPr>
                <w:rFonts w:ascii="Calibri" w:hAnsi="Calibri" w:cs="Calibri"/>
                <w:kern w:val="2"/>
                <w:sz w:val="22"/>
                <w:szCs w:val="22"/>
                <w:lang w:eastAsia="ru-RU"/>
                <w14:ligatures w14:val="standardContextual"/>
              </w:rPr>
              <w:t xml:space="preserve">(applies to </w:t>
            </w:r>
            <w:r w:rsidR="00557F3E">
              <w:rPr>
                <w:rFonts w:ascii="Calibri" w:hAnsi="Calibri" w:cs="Calibri"/>
                <w:kern w:val="2"/>
                <w:sz w:val="22"/>
                <w:szCs w:val="22"/>
                <w:lang w:eastAsia="ru-RU"/>
                <w14:ligatures w14:val="standardContextual"/>
              </w:rPr>
              <w:t>online</w:t>
            </w:r>
            <w:r w:rsidRPr="000051D4">
              <w:rPr>
                <w:rFonts w:ascii="Calibri" w:hAnsi="Calibri" w:cs="Calibri"/>
                <w:kern w:val="2"/>
                <w:sz w:val="22"/>
                <w:szCs w:val="22"/>
                <w:lang w:eastAsia="ru-RU"/>
                <w14:ligatures w14:val="standardContextual"/>
              </w:rPr>
              <w:t xml:space="preserve"> events)</w:t>
            </w:r>
          </w:p>
        </w:tc>
      </w:tr>
      <w:tr w:rsidR="00D6200B" w:rsidRPr="000051D4" w14:paraId="299E3724" w14:textId="77777777" w:rsidTr="00602D5C">
        <w:tc>
          <w:tcPr>
            <w:tcW w:w="997" w:type="dxa"/>
          </w:tcPr>
          <w:p w14:paraId="155BC8E3" w14:textId="77777777" w:rsidR="00D6200B" w:rsidRPr="000051D4" w:rsidRDefault="00D6200B" w:rsidP="00602D5C">
            <w:pPr>
              <w:spacing w:line="276" w:lineRule="auto"/>
              <w:rPr>
                <w:rFonts w:ascii="Calibri" w:hAnsi="Calibri" w:cs="Calibri"/>
                <w:sz w:val="22"/>
                <w:szCs w:val="22"/>
                <w:lang w:eastAsia="ru-RU"/>
              </w:rPr>
            </w:pPr>
            <w:r w:rsidRPr="000051D4">
              <w:rPr>
                <w:rFonts w:ascii="Calibri" w:hAnsi="Calibri" w:cs="Calibri"/>
                <w:sz w:val="22"/>
                <w:szCs w:val="22"/>
                <w:lang w:eastAsia="ru-RU"/>
              </w:rPr>
              <w:t>15.</w:t>
            </w:r>
            <w:r>
              <w:rPr>
                <w:rFonts w:ascii="Calibri" w:hAnsi="Calibri" w:cs="Calibri"/>
                <w:sz w:val="22"/>
                <w:szCs w:val="22"/>
                <w:lang w:eastAsia="ru-RU"/>
              </w:rPr>
              <w:t>2</w:t>
            </w:r>
          </w:p>
        </w:tc>
        <w:tc>
          <w:tcPr>
            <w:tcW w:w="8631" w:type="dxa"/>
            <w:vAlign w:val="center"/>
          </w:tcPr>
          <w:p w14:paraId="7D365D17" w14:textId="5C424F43" w:rsidR="00D6200B" w:rsidRPr="000051D4" w:rsidRDefault="00D6200B" w:rsidP="00602D5C">
            <w:pPr>
              <w:spacing w:line="276" w:lineRule="auto"/>
              <w:rPr>
                <w:rFonts w:ascii="Calibri" w:hAnsi="Calibri" w:cs="Calibri"/>
                <w:sz w:val="22"/>
                <w:szCs w:val="22"/>
                <w:lang w:eastAsia="ru-RU"/>
              </w:rPr>
            </w:pPr>
            <w:r w:rsidRPr="000051D4">
              <w:rPr>
                <w:rFonts w:ascii="Calibri" w:hAnsi="Calibri" w:cs="Calibri"/>
                <w:sz w:val="22"/>
                <w:szCs w:val="22"/>
                <w:lang w:eastAsia="ru-RU"/>
              </w:rPr>
              <w:t>Consecutive interpretation lasting</w:t>
            </w:r>
            <w:r w:rsidR="00AC3E9B">
              <w:rPr>
                <w:rFonts w:ascii="Calibri" w:hAnsi="Calibri" w:cs="Calibri"/>
                <w:sz w:val="22"/>
                <w:szCs w:val="22"/>
                <w:lang w:eastAsia="ru-RU"/>
              </w:rPr>
              <w:t xml:space="preserve"> from</w:t>
            </w:r>
            <w:r w:rsidRPr="000051D4">
              <w:rPr>
                <w:rFonts w:ascii="Calibri" w:hAnsi="Calibri" w:cs="Calibri"/>
                <w:sz w:val="22"/>
                <w:szCs w:val="22"/>
                <w:lang w:eastAsia="ru-RU"/>
              </w:rPr>
              <w:t xml:space="preserve"> 1 to 2 hours </w:t>
            </w:r>
            <w:r w:rsidRPr="000051D4">
              <w:rPr>
                <w:rFonts w:ascii="Calibri" w:hAnsi="Calibri" w:cs="Calibri"/>
                <w:kern w:val="2"/>
                <w:sz w:val="22"/>
                <w:szCs w:val="22"/>
                <w:lang w:eastAsia="ru-RU"/>
                <w14:ligatures w14:val="standardContextual"/>
              </w:rPr>
              <w:t xml:space="preserve">(applies to </w:t>
            </w:r>
            <w:r w:rsidR="00557F3E">
              <w:rPr>
                <w:rFonts w:ascii="Calibri" w:hAnsi="Calibri" w:cs="Calibri"/>
                <w:kern w:val="2"/>
                <w:sz w:val="22"/>
                <w:szCs w:val="22"/>
                <w:lang w:eastAsia="ru-RU"/>
                <w14:ligatures w14:val="standardContextual"/>
              </w:rPr>
              <w:t>online</w:t>
            </w:r>
            <w:r w:rsidR="00557F3E" w:rsidRPr="000051D4">
              <w:rPr>
                <w:rFonts w:ascii="Calibri" w:hAnsi="Calibri" w:cs="Calibri"/>
                <w:kern w:val="2"/>
                <w:sz w:val="22"/>
                <w:szCs w:val="22"/>
                <w:lang w:eastAsia="ru-RU"/>
                <w14:ligatures w14:val="standardContextual"/>
              </w:rPr>
              <w:t xml:space="preserve"> </w:t>
            </w:r>
            <w:r w:rsidRPr="000051D4">
              <w:rPr>
                <w:rFonts w:ascii="Calibri" w:hAnsi="Calibri" w:cs="Calibri"/>
                <w:kern w:val="2"/>
                <w:sz w:val="22"/>
                <w:szCs w:val="22"/>
                <w:lang w:eastAsia="ru-RU"/>
                <w14:ligatures w14:val="standardContextual"/>
              </w:rPr>
              <w:t>events</w:t>
            </w:r>
            <w:r w:rsidRPr="000051D4">
              <w:rPr>
                <w:rFonts w:ascii="Calibri" w:hAnsi="Calibri" w:cs="Calibri"/>
                <w:sz w:val="22"/>
                <w:szCs w:val="22"/>
                <w:lang w:eastAsia="ru-RU"/>
              </w:rPr>
              <w:t>)</w:t>
            </w:r>
          </w:p>
        </w:tc>
      </w:tr>
      <w:tr w:rsidR="00D6200B" w:rsidRPr="000051D4" w14:paraId="4D12A16E" w14:textId="77777777" w:rsidTr="00602D5C">
        <w:tc>
          <w:tcPr>
            <w:tcW w:w="997" w:type="dxa"/>
          </w:tcPr>
          <w:p w14:paraId="35B61641" w14:textId="77777777" w:rsidR="00D6200B" w:rsidRPr="000051D4" w:rsidRDefault="00D6200B" w:rsidP="00602D5C">
            <w:pPr>
              <w:spacing w:line="276" w:lineRule="auto"/>
              <w:rPr>
                <w:rFonts w:ascii="Calibri" w:hAnsi="Calibri" w:cs="Calibri"/>
                <w:sz w:val="22"/>
                <w:szCs w:val="22"/>
                <w:lang w:eastAsia="ru-RU"/>
              </w:rPr>
            </w:pPr>
            <w:r w:rsidRPr="000051D4">
              <w:rPr>
                <w:rFonts w:ascii="Calibri" w:hAnsi="Calibri" w:cs="Calibri"/>
                <w:sz w:val="22"/>
                <w:szCs w:val="22"/>
                <w:lang w:eastAsia="ru-RU"/>
              </w:rPr>
              <w:t>15</w:t>
            </w:r>
            <w:r>
              <w:rPr>
                <w:rFonts w:ascii="Calibri" w:hAnsi="Calibri" w:cs="Calibri"/>
                <w:sz w:val="22"/>
                <w:szCs w:val="22"/>
                <w:lang w:eastAsia="ru-RU"/>
              </w:rPr>
              <w:t>.3</w:t>
            </w:r>
          </w:p>
        </w:tc>
        <w:tc>
          <w:tcPr>
            <w:tcW w:w="8631" w:type="dxa"/>
            <w:vAlign w:val="center"/>
          </w:tcPr>
          <w:p w14:paraId="25807B9B" w14:textId="302EF3E6" w:rsidR="00D6200B" w:rsidRPr="000051D4" w:rsidRDefault="00D6200B" w:rsidP="00602D5C">
            <w:pPr>
              <w:spacing w:line="276" w:lineRule="auto"/>
              <w:rPr>
                <w:rFonts w:ascii="Calibri" w:hAnsi="Calibri" w:cs="Calibri"/>
                <w:sz w:val="22"/>
                <w:szCs w:val="22"/>
                <w:lang w:eastAsia="ru-RU"/>
              </w:rPr>
            </w:pPr>
            <w:r w:rsidRPr="000051D4">
              <w:rPr>
                <w:rFonts w:ascii="Calibri" w:hAnsi="Calibri" w:cs="Calibri"/>
                <w:sz w:val="22"/>
                <w:szCs w:val="22"/>
                <w:lang w:eastAsia="ru-RU"/>
              </w:rPr>
              <w:t>Consecutive interpretation lasting</w:t>
            </w:r>
            <w:r w:rsidR="00AC3E9B">
              <w:rPr>
                <w:rFonts w:ascii="Calibri" w:hAnsi="Calibri" w:cs="Calibri"/>
                <w:sz w:val="22"/>
                <w:szCs w:val="22"/>
                <w:lang w:eastAsia="ru-RU"/>
              </w:rPr>
              <w:t xml:space="preserve"> from</w:t>
            </w:r>
            <w:r w:rsidRPr="000051D4">
              <w:rPr>
                <w:rFonts w:ascii="Calibri" w:hAnsi="Calibri" w:cs="Calibri"/>
                <w:sz w:val="22"/>
                <w:szCs w:val="22"/>
                <w:lang w:eastAsia="ru-RU"/>
              </w:rPr>
              <w:t xml:space="preserve"> 2 to 3 hours </w:t>
            </w:r>
            <w:r w:rsidRPr="000051D4">
              <w:rPr>
                <w:rFonts w:ascii="Calibri" w:hAnsi="Calibri" w:cs="Calibri"/>
                <w:kern w:val="2"/>
                <w:sz w:val="22"/>
                <w:szCs w:val="22"/>
                <w:lang w:eastAsia="ru-RU"/>
                <w14:ligatures w14:val="standardContextual"/>
              </w:rPr>
              <w:t xml:space="preserve">(applies to </w:t>
            </w:r>
            <w:r w:rsidR="00557F3E">
              <w:rPr>
                <w:rFonts w:ascii="Calibri" w:hAnsi="Calibri" w:cs="Calibri"/>
                <w:kern w:val="2"/>
                <w:sz w:val="22"/>
                <w:szCs w:val="22"/>
                <w:lang w:eastAsia="ru-RU"/>
                <w14:ligatures w14:val="standardContextual"/>
              </w:rPr>
              <w:t>online</w:t>
            </w:r>
            <w:r w:rsidR="00557F3E" w:rsidRPr="000051D4">
              <w:rPr>
                <w:rFonts w:ascii="Calibri" w:hAnsi="Calibri" w:cs="Calibri"/>
                <w:kern w:val="2"/>
                <w:sz w:val="22"/>
                <w:szCs w:val="22"/>
                <w:lang w:eastAsia="ru-RU"/>
                <w14:ligatures w14:val="standardContextual"/>
              </w:rPr>
              <w:t xml:space="preserve"> </w:t>
            </w:r>
            <w:r w:rsidRPr="000051D4">
              <w:rPr>
                <w:rFonts w:ascii="Calibri" w:hAnsi="Calibri" w:cs="Calibri"/>
                <w:kern w:val="2"/>
                <w:sz w:val="22"/>
                <w:szCs w:val="22"/>
                <w:lang w:eastAsia="ru-RU"/>
                <w14:ligatures w14:val="standardContextual"/>
              </w:rPr>
              <w:t>events)</w:t>
            </w:r>
          </w:p>
        </w:tc>
      </w:tr>
      <w:tr w:rsidR="00D6200B" w:rsidRPr="000051D4" w14:paraId="542DC019" w14:textId="77777777" w:rsidTr="00602D5C">
        <w:tc>
          <w:tcPr>
            <w:tcW w:w="997" w:type="dxa"/>
          </w:tcPr>
          <w:p w14:paraId="5EC7D4AC" w14:textId="77777777" w:rsidR="00D6200B" w:rsidRPr="000051D4" w:rsidRDefault="00D6200B" w:rsidP="00602D5C">
            <w:pPr>
              <w:spacing w:line="276" w:lineRule="auto"/>
              <w:rPr>
                <w:rFonts w:ascii="Calibri" w:hAnsi="Calibri" w:cs="Calibri"/>
                <w:sz w:val="22"/>
                <w:szCs w:val="22"/>
                <w:lang w:eastAsia="ru-RU"/>
              </w:rPr>
            </w:pPr>
            <w:r w:rsidRPr="000051D4">
              <w:rPr>
                <w:rFonts w:ascii="Calibri" w:hAnsi="Calibri" w:cs="Calibri"/>
                <w:sz w:val="22"/>
                <w:szCs w:val="22"/>
                <w:lang w:eastAsia="ru-RU"/>
              </w:rPr>
              <w:t>15</w:t>
            </w:r>
            <w:r>
              <w:rPr>
                <w:rFonts w:ascii="Calibri" w:hAnsi="Calibri" w:cs="Calibri"/>
                <w:sz w:val="22"/>
                <w:szCs w:val="22"/>
                <w:lang w:eastAsia="ru-RU"/>
              </w:rPr>
              <w:t>.4</w:t>
            </w:r>
          </w:p>
        </w:tc>
        <w:tc>
          <w:tcPr>
            <w:tcW w:w="8631" w:type="dxa"/>
            <w:vAlign w:val="center"/>
          </w:tcPr>
          <w:p w14:paraId="3336B0EA" w14:textId="49B64D78" w:rsidR="00D6200B" w:rsidRPr="000051D4" w:rsidRDefault="00D6200B" w:rsidP="00602D5C">
            <w:pPr>
              <w:spacing w:line="276" w:lineRule="auto"/>
              <w:rPr>
                <w:rFonts w:ascii="Calibri" w:hAnsi="Calibri" w:cs="Calibri"/>
                <w:sz w:val="22"/>
                <w:szCs w:val="22"/>
              </w:rPr>
            </w:pPr>
            <w:r w:rsidRPr="000051D4">
              <w:rPr>
                <w:rFonts w:ascii="Calibri" w:hAnsi="Calibri" w:cs="Calibri"/>
                <w:sz w:val="22"/>
                <w:szCs w:val="22"/>
                <w:lang w:eastAsia="ru-RU"/>
              </w:rPr>
              <w:t xml:space="preserve">Consecutive interpretation lasting </w:t>
            </w:r>
            <w:r w:rsidR="00AC3E9B">
              <w:rPr>
                <w:rFonts w:ascii="Calibri" w:hAnsi="Calibri" w:cs="Calibri"/>
                <w:sz w:val="22"/>
                <w:szCs w:val="22"/>
                <w:lang w:eastAsia="ru-RU"/>
              </w:rPr>
              <w:t xml:space="preserve">from </w:t>
            </w:r>
            <w:r w:rsidRPr="000051D4">
              <w:rPr>
                <w:rFonts w:ascii="Calibri" w:hAnsi="Calibri" w:cs="Calibri"/>
                <w:sz w:val="22"/>
                <w:szCs w:val="22"/>
                <w:lang w:eastAsia="ru-RU"/>
              </w:rPr>
              <w:t>3 to 4 hours (</w:t>
            </w:r>
            <w:r w:rsidRPr="000051D4">
              <w:rPr>
                <w:rFonts w:ascii="Calibri" w:hAnsi="Calibri" w:cs="Calibri"/>
                <w:kern w:val="2"/>
                <w:sz w:val="22"/>
                <w:szCs w:val="22"/>
                <w:lang w:eastAsia="ru-RU"/>
                <w14:ligatures w14:val="standardContextual"/>
              </w:rPr>
              <w:t xml:space="preserve">applies to </w:t>
            </w:r>
            <w:r w:rsidR="00557F3E">
              <w:rPr>
                <w:rFonts w:ascii="Calibri" w:hAnsi="Calibri" w:cs="Calibri"/>
                <w:kern w:val="2"/>
                <w:sz w:val="22"/>
                <w:szCs w:val="22"/>
                <w:lang w:eastAsia="ru-RU"/>
                <w14:ligatures w14:val="standardContextual"/>
              </w:rPr>
              <w:t>online</w:t>
            </w:r>
            <w:r w:rsidR="00557F3E" w:rsidRPr="000051D4">
              <w:rPr>
                <w:rFonts w:ascii="Calibri" w:hAnsi="Calibri" w:cs="Calibri"/>
                <w:kern w:val="2"/>
                <w:sz w:val="22"/>
                <w:szCs w:val="22"/>
                <w:lang w:eastAsia="ru-RU"/>
                <w14:ligatures w14:val="standardContextual"/>
              </w:rPr>
              <w:t xml:space="preserve"> </w:t>
            </w:r>
            <w:r w:rsidRPr="000051D4">
              <w:rPr>
                <w:rFonts w:ascii="Calibri" w:hAnsi="Calibri" w:cs="Calibri"/>
                <w:kern w:val="2"/>
                <w:sz w:val="22"/>
                <w:szCs w:val="22"/>
                <w:lang w:eastAsia="ru-RU"/>
                <w14:ligatures w14:val="standardContextual"/>
              </w:rPr>
              <w:t>events)</w:t>
            </w:r>
          </w:p>
        </w:tc>
      </w:tr>
      <w:tr w:rsidR="00D6200B" w:rsidRPr="000051D4" w14:paraId="417B3173" w14:textId="77777777" w:rsidTr="00602D5C">
        <w:tc>
          <w:tcPr>
            <w:tcW w:w="997" w:type="dxa"/>
          </w:tcPr>
          <w:p w14:paraId="7A2F56AC" w14:textId="77777777" w:rsidR="00D6200B" w:rsidRPr="000051D4" w:rsidRDefault="00D6200B" w:rsidP="00602D5C">
            <w:pPr>
              <w:spacing w:line="276" w:lineRule="auto"/>
              <w:rPr>
                <w:rFonts w:ascii="Calibri" w:hAnsi="Calibri" w:cs="Calibri"/>
                <w:sz w:val="22"/>
                <w:szCs w:val="22"/>
                <w:lang w:eastAsia="ru-RU"/>
              </w:rPr>
            </w:pPr>
            <w:r w:rsidRPr="000051D4">
              <w:rPr>
                <w:rFonts w:ascii="Calibri" w:hAnsi="Calibri" w:cs="Calibri"/>
                <w:sz w:val="22"/>
                <w:szCs w:val="22"/>
                <w:lang w:eastAsia="ru-RU"/>
              </w:rPr>
              <w:t>15</w:t>
            </w:r>
            <w:r>
              <w:rPr>
                <w:rFonts w:ascii="Calibri" w:hAnsi="Calibri" w:cs="Calibri"/>
                <w:sz w:val="22"/>
                <w:szCs w:val="22"/>
                <w:lang w:eastAsia="ru-RU"/>
              </w:rPr>
              <w:t>.5</w:t>
            </w:r>
          </w:p>
        </w:tc>
        <w:tc>
          <w:tcPr>
            <w:tcW w:w="8631" w:type="dxa"/>
            <w:vAlign w:val="center"/>
          </w:tcPr>
          <w:p w14:paraId="051CEB4A" w14:textId="75B8E9A9" w:rsidR="00D6200B" w:rsidRPr="000051D4" w:rsidRDefault="00D6200B" w:rsidP="00602D5C">
            <w:pPr>
              <w:spacing w:line="276" w:lineRule="auto"/>
              <w:rPr>
                <w:rFonts w:ascii="Calibri" w:hAnsi="Calibri" w:cs="Calibri"/>
                <w:sz w:val="22"/>
                <w:szCs w:val="22"/>
              </w:rPr>
            </w:pPr>
            <w:r w:rsidRPr="000051D4">
              <w:rPr>
                <w:rFonts w:ascii="Calibri" w:hAnsi="Calibri" w:cs="Calibri"/>
                <w:sz w:val="22"/>
                <w:szCs w:val="22"/>
                <w:lang w:eastAsia="ru-RU"/>
              </w:rPr>
              <w:t>Consecutive interpretation lasting more than 4 hours and up to 8 hours (</w:t>
            </w:r>
            <w:r w:rsidRPr="000051D4">
              <w:rPr>
                <w:rFonts w:ascii="Calibri" w:hAnsi="Calibri" w:cs="Calibri"/>
                <w:kern w:val="2"/>
                <w:sz w:val="22"/>
                <w:szCs w:val="22"/>
                <w:lang w:eastAsia="ru-RU"/>
                <w14:ligatures w14:val="standardContextual"/>
              </w:rPr>
              <w:t xml:space="preserve">applies to </w:t>
            </w:r>
            <w:r w:rsidR="00557F3E">
              <w:rPr>
                <w:rFonts w:ascii="Calibri" w:hAnsi="Calibri" w:cs="Calibri"/>
                <w:kern w:val="2"/>
                <w:sz w:val="22"/>
                <w:szCs w:val="22"/>
                <w:lang w:eastAsia="ru-RU"/>
                <w14:ligatures w14:val="standardContextual"/>
              </w:rPr>
              <w:t>online</w:t>
            </w:r>
            <w:r w:rsidR="00557F3E" w:rsidRPr="000051D4">
              <w:rPr>
                <w:rFonts w:ascii="Calibri" w:hAnsi="Calibri" w:cs="Calibri"/>
                <w:kern w:val="2"/>
                <w:sz w:val="22"/>
                <w:szCs w:val="22"/>
                <w:lang w:eastAsia="ru-RU"/>
                <w14:ligatures w14:val="standardContextual"/>
              </w:rPr>
              <w:t xml:space="preserve"> </w:t>
            </w:r>
            <w:r w:rsidRPr="000051D4">
              <w:rPr>
                <w:rFonts w:ascii="Calibri" w:hAnsi="Calibri" w:cs="Calibri"/>
                <w:kern w:val="2"/>
                <w:sz w:val="22"/>
                <w:szCs w:val="22"/>
                <w:lang w:eastAsia="ru-RU"/>
                <w14:ligatures w14:val="standardContextual"/>
              </w:rPr>
              <w:t>events)</w:t>
            </w:r>
          </w:p>
        </w:tc>
      </w:tr>
      <w:tr w:rsidR="00D6200B" w:rsidRPr="000051D4" w14:paraId="20EAC04C" w14:textId="77777777" w:rsidTr="00602D5C">
        <w:tc>
          <w:tcPr>
            <w:tcW w:w="997" w:type="dxa"/>
          </w:tcPr>
          <w:p w14:paraId="2E24F221" w14:textId="77777777" w:rsidR="00D6200B" w:rsidRPr="000051D4" w:rsidRDefault="00D6200B" w:rsidP="00602D5C">
            <w:pPr>
              <w:spacing w:line="276" w:lineRule="auto"/>
              <w:rPr>
                <w:rFonts w:ascii="Calibri" w:hAnsi="Calibri" w:cs="Calibri"/>
                <w:sz w:val="22"/>
                <w:szCs w:val="22"/>
                <w:lang w:eastAsia="ru-RU"/>
              </w:rPr>
            </w:pPr>
            <w:r w:rsidRPr="000051D4">
              <w:rPr>
                <w:rFonts w:ascii="Calibri" w:hAnsi="Calibri" w:cs="Calibri"/>
                <w:sz w:val="22"/>
                <w:szCs w:val="22"/>
                <w:lang w:eastAsia="ru-RU"/>
              </w:rPr>
              <w:t>15.</w:t>
            </w:r>
            <w:r>
              <w:rPr>
                <w:rFonts w:ascii="Calibri" w:hAnsi="Calibri" w:cs="Calibri"/>
                <w:sz w:val="22"/>
                <w:szCs w:val="22"/>
                <w:lang w:eastAsia="ru-RU"/>
              </w:rPr>
              <w:t>6</w:t>
            </w:r>
          </w:p>
        </w:tc>
        <w:tc>
          <w:tcPr>
            <w:tcW w:w="8631" w:type="dxa"/>
            <w:vAlign w:val="center"/>
          </w:tcPr>
          <w:p w14:paraId="5A699E4C" w14:textId="77777777" w:rsidR="00D6200B" w:rsidRPr="000051D4" w:rsidRDefault="00D6200B" w:rsidP="00602D5C">
            <w:pPr>
              <w:spacing w:line="276" w:lineRule="auto"/>
              <w:rPr>
                <w:rFonts w:ascii="Calibri" w:hAnsi="Calibri" w:cs="Calibri"/>
                <w:sz w:val="22"/>
                <w:szCs w:val="22"/>
                <w:lang w:eastAsia="ru-RU"/>
              </w:rPr>
            </w:pPr>
            <w:r w:rsidRPr="000051D4">
              <w:rPr>
                <w:rFonts w:ascii="Calibri" w:hAnsi="Calibri" w:cs="Calibri"/>
                <w:sz w:val="22"/>
                <w:szCs w:val="22"/>
                <w:lang w:eastAsia="ru-RU"/>
              </w:rPr>
              <w:t xml:space="preserve">Consecutive interpretation lasting up to 1 hour </w:t>
            </w:r>
            <w:r w:rsidRPr="000051D4">
              <w:rPr>
                <w:rFonts w:ascii="Calibri" w:hAnsi="Calibri" w:cs="Calibri"/>
                <w:kern w:val="2"/>
                <w:sz w:val="22"/>
                <w:szCs w:val="22"/>
                <w:lang w:eastAsia="ru-RU"/>
                <w14:ligatures w14:val="standardContextual"/>
              </w:rPr>
              <w:t>(applies to physical events and on-site interpreting)</w:t>
            </w:r>
          </w:p>
        </w:tc>
      </w:tr>
      <w:tr w:rsidR="00D6200B" w:rsidRPr="000051D4" w14:paraId="5C01E2E9" w14:textId="77777777" w:rsidTr="00602D5C">
        <w:tc>
          <w:tcPr>
            <w:tcW w:w="997" w:type="dxa"/>
          </w:tcPr>
          <w:p w14:paraId="68DFF2A8" w14:textId="77777777" w:rsidR="00D6200B" w:rsidRPr="000051D4" w:rsidRDefault="00D6200B" w:rsidP="00602D5C">
            <w:pPr>
              <w:spacing w:line="276" w:lineRule="auto"/>
              <w:rPr>
                <w:rFonts w:ascii="Calibri" w:hAnsi="Calibri" w:cs="Calibri"/>
                <w:sz w:val="22"/>
                <w:szCs w:val="22"/>
                <w:lang w:eastAsia="ru-RU"/>
              </w:rPr>
            </w:pPr>
            <w:r w:rsidRPr="000051D4">
              <w:rPr>
                <w:rFonts w:ascii="Calibri" w:hAnsi="Calibri" w:cs="Calibri"/>
                <w:sz w:val="22"/>
                <w:szCs w:val="22"/>
                <w:lang w:eastAsia="ru-RU"/>
              </w:rPr>
              <w:t>15.</w:t>
            </w:r>
            <w:r>
              <w:rPr>
                <w:rFonts w:ascii="Calibri" w:hAnsi="Calibri" w:cs="Calibri"/>
                <w:sz w:val="22"/>
                <w:szCs w:val="22"/>
                <w:lang w:eastAsia="ru-RU"/>
              </w:rPr>
              <w:t>7</w:t>
            </w:r>
          </w:p>
        </w:tc>
        <w:tc>
          <w:tcPr>
            <w:tcW w:w="8631" w:type="dxa"/>
            <w:vAlign w:val="center"/>
          </w:tcPr>
          <w:p w14:paraId="726D0912" w14:textId="174F53FE" w:rsidR="00D6200B" w:rsidRPr="000051D4" w:rsidRDefault="00D6200B" w:rsidP="00602D5C">
            <w:pPr>
              <w:spacing w:line="276" w:lineRule="auto"/>
              <w:rPr>
                <w:rFonts w:ascii="Calibri" w:hAnsi="Calibri" w:cs="Calibri"/>
                <w:sz w:val="22"/>
                <w:szCs w:val="22"/>
              </w:rPr>
            </w:pPr>
            <w:r w:rsidRPr="000051D4">
              <w:rPr>
                <w:rFonts w:ascii="Calibri" w:hAnsi="Calibri" w:cs="Calibri"/>
                <w:sz w:val="22"/>
                <w:szCs w:val="22"/>
                <w:lang w:eastAsia="ru-RU"/>
              </w:rPr>
              <w:t xml:space="preserve">Consecutive interpretation lasting </w:t>
            </w:r>
            <w:r w:rsidR="00AC3E9B">
              <w:rPr>
                <w:rFonts w:ascii="Calibri" w:hAnsi="Calibri" w:cs="Calibri"/>
                <w:sz w:val="22"/>
                <w:szCs w:val="22"/>
                <w:lang w:eastAsia="ru-RU"/>
              </w:rPr>
              <w:t>from</w:t>
            </w:r>
            <w:r w:rsidRPr="000051D4">
              <w:rPr>
                <w:rFonts w:ascii="Calibri" w:hAnsi="Calibri" w:cs="Calibri"/>
                <w:sz w:val="22"/>
                <w:szCs w:val="22"/>
                <w:lang w:eastAsia="ru-RU"/>
              </w:rPr>
              <w:t xml:space="preserve"> 1 </w:t>
            </w:r>
            <w:r w:rsidR="00AC3E9B">
              <w:rPr>
                <w:rFonts w:ascii="Calibri" w:hAnsi="Calibri" w:cs="Calibri"/>
                <w:sz w:val="22"/>
                <w:szCs w:val="22"/>
                <w:lang w:eastAsia="ru-RU"/>
              </w:rPr>
              <w:t>to</w:t>
            </w:r>
            <w:r w:rsidRPr="000051D4">
              <w:rPr>
                <w:rFonts w:ascii="Calibri" w:hAnsi="Calibri" w:cs="Calibri"/>
                <w:sz w:val="22"/>
                <w:szCs w:val="22"/>
                <w:lang w:eastAsia="ru-RU"/>
              </w:rPr>
              <w:t xml:space="preserve"> 2 hours </w:t>
            </w:r>
            <w:r w:rsidRPr="000051D4">
              <w:rPr>
                <w:rFonts w:ascii="Calibri" w:hAnsi="Calibri" w:cs="Calibri"/>
                <w:kern w:val="2"/>
                <w:sz w:val="22"/>
                <w:szCs w:val="22"/>
                <w:lang w:eastAsia="ru-RU"/>
                <w14:ligatures w14:val="standardContextual"/>
              </w:rPr>
              <w:t>(applies to physical events and on-site interpreting)</w:t>
            </w:r>
          </w:p>
        </w:tc>
      </w:tr>
      <w:tr w:rsidR="00D6200B" w:rsidRPr="000051D4" w14:paraId="1EC4D3D6" w14:textId="77777777" w:rsidTr="00602D5C">
        <w:tc>
          <w:tcPr>
            <w:tcW w:w="997" w:type="dxa"/>
          </w:tcPr>
          <w:p w14:paraId="4F6AE9B9" w14:textId="77777777" w:rsidR="00D6200B" w:rsidRPr="000051D4" w:rsidRDefault="00D6200B" w:rsidP="00602D5C">
            <w:pPr>
              <w:spacing w:line="276" w:lineRule="auto"/>
              <w:rPr>
                <w:rFonts w:ascii="Calibri" w:hAnsi="Calibri" w:cs="Calibri"/>
                <w:sz w:val="22"/>
                <w:szCs w:val="22"/>
                <w:lang w:eastAsia="ru-RU"/>
              </w:rPr>
            </w:pPr>
            <w:r w:rsidRPr="000051D4">
              <w:rPr>
                <w:rFonts w:ascii="Calibri" w:hAnsi="Calibri" w:cs="Calibri"/>
                <w:sz w:val="22"/>
                <w:szCs w:val="22"/>
                <w:lang w:eastAsia="ru-RU"/>
              </w:rPr>
              <w:t>15</w:t>
            </w:r>
            <w:r>
              <w:rPr>
                <w:rFonts w:ascii="Calibri" w:hAnsi="Calibri" w:cs="Calibri"/>
                <w:sz w:val="22"/>
                <w:szCs w:val="22"/>
                <w:lang w:eastAsia="ru-RU"/>
              </w:rPr>
              <w:t>.8</w:t>
            </w:r>
          </w:p>
        </w:tc>
        <w:tc>
          <w:tcPr>
            <w:tcW w:w="8631" w:type="dxa"/>
            <w:vAlign w:val="center"/>
          </w:tcPr>
          <w:p w14:paraId="53953952" w14:textId="5D303272" w:rsidR="00D6200B" w:rsidRPr="000051D4" w:rsidRDefault="00D6200B" w:rsidP="00602D5C">
            <w:pPr>
              <w:spacing w:line="276" w:lineRule="auto"/>
              <w:rPr>
                <w:rFonts w:ascii="Calibri" w:hAnsi="Calibri" w:cs="Calibri"/>
                <w:sz w:val="22"/>
                <w:szCs w:val="22"/>
                <w:lang w:eastAsia="ru-RU"/>
              </w:rPr>
            </w:pPr>
            <w:r w:rsidRPr="000051D4">
              <w:rPr>
                <w:rFonts w:ascii="Calibri" w:hAnsi="Calibri" w:cs="Calibri"/>
                <w:sz w:val="22"/>
                <w:szCs w:val="22"/>
                <w:lang w:eastAsia="ru-RU"/>
              </w:rPr>
              <w:t xml:space="preserve">Consecutive interpretation lasting </w:t>
            </w:r>
            <w:r w:rsidR="00AC3E9B">
              <w:rPr>
                <w:rFonts w:ascii="Calibri" w:hAnsi="Calibri" w:cs="Calibri"/>
                <w:sz w:val="22"/>
                <w:szCs w:val="22"/>
                <w:lang w:eastAsia="ru-RU"/>
              </w:rPr>
              <w:t xml:space="preserve">from </w:t>
            </w:r>
            <w:r w:rsidRPr="000051D4">
              <w:rPr>
                <w:rFonts w:ascii="Calibri" w:hAnsi="Calibri" w:cs="Calibri"/>
                <w:sz w:val="22"/>
                <w:szCs w:val="22"/>
                <w:lang w:eastAsia="ru-RU"/>
              </w:rPr>
              <w:t xml:space="preserve">2 to 3 hours </w:t>
            </w:r>
            <w:r w:rsidRPr="000051D4">
              <w:rPr>
                <w:rFonts w:ascii="Calibri" w:hAnsi="Calibri" w:cs="Calibri"/>
                <w:kern w:val="2"/>
                <w:sz w:val="22"/>
                <w:szCs w:val="22"/>
                <w:lang w:eastAsia="ru-RU"/>
                <w14:ligatures w14:val="standardContextual"/>
              </w:rPr>
              <w:t xml:space="preserve">(applies to physical events and </w:t>
            </w:r>
            <w:r w:rsidRPr="000051D4" w:rsidDel="00B46D7B">
              <w:rPr>
                <w:rFonts w:ascii="Calibri" w:hAnsi="Calibri" w:cs="Calibri"/>
                <w:kern w:val="2"/>
                <w:sz w:val="22"/>
                <w:szCs w:val="22"/>
                <w:lang w:eastAsia="ru-RU"/>
                <w14:ligatures w14:val="standardContextual"/>
              </w:rPr>
              <w:t>on-site interpreting)</w:t>
            </w:r>
          </w:p>
        </w:tc>
      </w:tr>
      <w:tr w:rsidR="00D6200B" w:rsidRPr="000051D4" w14:paraId="7EE231D7" w14:textId="77777777" w:rsidTr="00602D5C">
        <w:tc>
          <w:tcPr>
            <w:tcW w:w="997" w:type="dxa"/>
          </w:tcPr>
          <w:p w14:paraId="7FFF726F" w14:textId="77777777" w:rsidR="00D6200B" w:rsidRPr="000051D4" w:rsidRDefault="00D6200B" w:rsidP="00602D5C">
            <w:pPr>
              <w:spacing w:line="276" w:lineRule="auto"/>
              <w:rPr>
                <w:rFonts w:ascii="Calibri" w:hAnsi="Calibri" w:cs="Calibri"/>
                <w:sz w:val="22"/>
                <w:szCs w:val="22"/>
                <w:lang w:eastAsia="ru-RU"/>
              </w:rPr>
            </w:pPr>
            <w:r w:rsidRPr="000051D4">
              <w:rPr>
                <w:rFonts w:ascii="Calibri" w:hAnsi="Calibri" w:cs="Calibri"/>
                <w:sz w:val="22"/>
                <w:szCs w:val="22"/>
                <w:lang w:eastAsia="ru-RU"/>
              </w:rPr>
              <w:t>15</w:t>
            </w:r>
            <w:r>
              <w:rPr>
                <w:rFonts w:ascii="Calibri" w:hAnsi="Calibri" w:cs="Calibri"/>
                <w:sz w:val="22"/>
                <w:szCs w:val="22"/>
                <w:lang w:eastAsia="ru-RU"/>
              </w:rPr>
              <w:t>.9</w:t>
            </w:r>
          </w:p>
        </w:tc>
        <w:tc>
          <w:tcPr>
            <w:tcW w:w="8631" w:type="dxa"/>
            <w:vAlign w:val="center"/>
          </w:tcPr>
          <w:p w14:paraId="05D60749" w14:textId="2C644922" w:rsidR="00D6200B" w:rsidRPr="000051D4" w:rsidRDefault="00D6200B" w:rsidP="00602D5C">
            <w:pPr>
              <w:spacing w:line="276" w:lineRule="auto"/>
              <w:rPr>
                <w:rFonts w:ascii="Calibri" w:hAnsi="Calibri" w:cs="Calibri"/>
                <w:sz w:val="22"/>
                <w:szCs w:val="22"/>
                <w:lang w:eastAsia="ru-RU"/>
              </w:rPr>
            </w:pPr>
            <w:r w:rsidRPr="000051D4">
              <w:rPr>
                <w:rFonts w:ascii="Calibri" w:hAnsi="Calibri" w:cs="Calibri"/>
                <w:sz w:val="22"/>
                <w:szCs w:val="22"/>
                <w:lang w:eastAsia="ru-RU"/>
              </w:rPr>
              <w:t xml:space="preserve">Consecutive interpretation lasting </w:t>
            </w:r>
            <w:r w:rsidR="00AC3E9B">
              <w:rPr>
                <w:rFonts w:ascii="Calibri" w:hAnsi="Calibri" w:cs="Calibri"/>
                <w:sz w:val="22"/>
                <w:szCs w:val="22"/>
                <w:lang w:eastAsia="ru-RU"/>
              </w:rPr>
              <w:t xml:space="preserve">from </w:t>
            </w:r>
            <w:r w:rsidRPr="000051D4">
              <w:rPr>
                <w:rFonts w:ascii="Calibri" w:hAnsi="Calibri" w:cs="Calibri"/>
                <w:sz w:val="22"/>
                <w:szCs w:val="22"/>
                <w:lang w:eastAsia="ru-RU"/>
              </w:rPr>
              <w:t xml:space="preserve">3 to 4 hours (applies to </w:t>
            </w:r>
            <w:r w:rsidRPr="000051D4">
              <w:rPr>
                <w:rFonts w:ascii="Calibri" w:hAnsi="Calibri" w:cs="Calibri"/>
                <w:kern w:val="2"/>
                <w:sz w:val="22"/>
                <w:szCs w:val="22"/>
                <w:lang w:eastAsia="ru-RU"/>
                <w14:ligatures w14:val="standardContextual"/>
              </w:rPr>
              <w:t>physical events and on-site interpreting</w:t>
            </w:r>
            <w:r w:rsidRPr="000051D4">
              <w:rPr>
                <w:rFonts w:ascii="Calibri" w:hAnsi="Calibri" w:cs="Calibri"/>
                <w:sz w:val="22"/>
                <w:szCs w:val="22"/>
                <w:lang w:eastAsia="ru-RU"/>
              </w:rPr>
              <w:t>)</w:t>
            </w:r>
          </w:p>
        </w:tc>
      </w:tr>
      <w:tr w:rsidR="00D6200B" w:rsidRPr="000051D4" w14:paraId="32D04649" w14:textId="77777777" w:rsidTr="00602D5C">
        <w:tc>
          <w:tcPr>
            <w:tcW w:w="997" w:type="dxa"/>
          </w:tcPr>
          <w:p w14:paraId="469EF965" w14:textId="77777777" w:rsidR="00D6200B" w:rsidRPr="000051D4" w:rsidRDefault="00D6200B" w:rsidP="00602D5C">
            <w:pPr>
              <w:spacing w:line="276" w:lineRule="auto"/>
              <w:rPr>
                <w:rFonts w:ascii="Calibri" w:hAnsi="Calibri" w:cs="Calibri"/>
                <w:sz w:val="22"/>
                <w:szCs w:val="22"/>
                <w:lang w:eastAsia="ru-RU"/>
              </w:rPr>
            </w:pPr>
            <w:r w:rsidRPr="000051D4">
              <w:rPr>
                <w:rFonts w:ascii="Calibri" w:hAnsi="Calibri" w:cs="Calibri"/>
                <w:sz w:val="22"/>
                <w:szCs w:val="22"/>
                <w:lang w:eastAsia="ru-RU"/>
              </w:rPr>
              <w:t>15.10</w:t>
            </w:r>
          </w:p>
        </w:tc>
        <w:tc>
          <w:tcPr>
            <w:tcW w:w="8631" w:type="dxa"/>
            <w:vAlign w:val="center"/>
          </w:tcPr>
          <w:p w14:paraId="5BD26DEF" w14:textId="77777777" w:rsidR="00D6200B" w:rsidRPr="000051D4" w:rsidRDefault="00D6200B" w:rsidP="00602D5C">
            <w:pPr>
              <w:spacing w:line="276" w:lineRule="auto"/>
              <w:rPr>
                <w:rFonts w:ascii="Calibri" w:hAnsi="Calibri" w:cs="Calibri"/>
                <w:sz w:val="22"/>
                <w:szCs w:val="22"/>
              </w:rPr>
            </w:pPr>
            <w:r w:rsidRPr="000051D4">
              <w:rPr>
                <w:rFonts w:ascii="Calibri" w:hAnsi="Calibri" w:cs="Calibri"/>
                <w:sz w:val="22"/>
                <w:szCs w:val="22"/>
                <w:lang w:eastAsia="ru-RU"/>
              </w:rPr>
              <w:t xml:space="preserve">Consecutive interpretation lasting more than 4 to 8 hours (applies to </w:t>
            </w:r>
            <w:r w:rsidRPr="000051D4">
              <w:rPr>
                <w:rFonts w:ascii="Calibri" w:hAnsi="Calibri" w:cs="Calibri"/>
                <w:kern w:val="2"/>
                <w:sz w:val="22"/>
                <w:szCs w:val="22"/>
                <w:lang w:eastAsia="ru-RU"/>
                <w14:ligatures w14:val="standardContextual"/>
              </w:rPr>
              <w:t>physical events and on-site interpreting</w:t>
            </w:r>
            <w:r w:rsidRPr="000051D4">
              <w:rPr>
                <w:rFonts w:ascii="Calibri" w:hAnsi="Calibri" w:cs="Calibri"/>
                <w:sz w:val="22"/>
                <w:szCs w:val="22"/>
                <w:lang w:eastAsia="ru-RU"/>
              </w:rPr>
              <w:t>)</w:t>
            </w:r>
          </w:p>
        </w:tc>
      </w:tr>
      <w:tr w:rsidR="00D6200B" w:rsidRPr="000051D4" w14:paraId="5EC4A986" w14:textId="77777777" w:rsidTr="00602D5C">
        <w:tc>
          <w:tcPr>
            <w:tcW w:w="9628" w:type="dxa"/>
            <w:gridSpan w:val="2"/>
          </w:tcPr>
          <w:p w14:paraId="7B253DE6" w14:textId="77777777" w:rsidR="00D6200B" w:rsidRPr="000051D4" w:rsidRDefault="00D6200B" w:rsidP="00602D5C">
            <w:pPr>
              <w:spacing w:line="276" w:lineRule="auto"/>
              <w:jc w:val="center"/>
              <w:rPr>
                <w:rFonts w:ascii="Calibri" w:hAnsi="Calibri" w:cs="Calibri"/>
                <w:sz w:val="22"/>
                <w:szCs w:val="22"/>
                <w:lang w:eastAsia="ru-RU"/>
              </w:rPr>
            </w:pPr>
            <w:r w:rsidRPr="000051D4">
              <w:rPr>
                <w:rFonts w:ascii="Calibri" w:hAnsi="Calibri" w:cs="Calibri"/>
                <w:b/>
                <w:bCs/>
                <w:sz w:val="22"/>
                <w:szCs w:val="22"/>
                <w:lang w:eastAsia="ru-RU"/>
              </w:rPr>
              <w:t>Simultaneous interpreting</w:t>
            </w:r>
            <w:r w:rsidRPr="000051D4">
              <w:rPr>
                <w:rStyle w:val="FootnoteReference"/>
                <w:rFonts w:ascii="Calibri" w:hAnsi="Calibri" w:cs="Calibri"/>
                <w:b/>
                <w:bCs/>
                <w:sz w:val="22"/>
                <w:szCs w:val="22"/>
                <w:lang w:eastAsia="ru-RU"/>
              </w:rPr>
              <w:footnoteReference w:id="4"/>
            </w:r>
          </w:p>
        </w:tc>
      </w:tr>
      <w:tr w:rsidR="00D6200B" w:rsidRPr="000051D4" w14:paraId="6762971C" w14:textId="77777777" w:rsidTr="00602D5C">
        <w:tc>
          <w:tcPr>
            <w:tcW w:w="997" w:type="dxa"/>
          </w:tcPr>
          <w:p w14:paraId="39A85505" w14:textId="77777777" w:rsidR="00D6200B" w:rsidRPr="000051D4" w:rsidRDefault="00D6200B" w:rsidP="00602D5C">
            <w:pPr>
              <w:spacing w:line="276" w:lineRule="auto"/>
              <w:rPr>
                <w:rFonts w:ascii="Calibri" w:hAnsi="Calibri" w:cs="Calibri"/>
                <w:sz w:val="22"/>
                <w:szCs w:val="22"/>
                <w:lang w:eastAsia="ru-RU"/>
              </w:rPr>
            </w:pPr>
            <w:r w:rsidRPr="000051D4">
              <w:rPr>
                <w:rFonts w:ascii="Calibri" w:hAnsi="Calibri" w:cs="Calibri"/>
                <w:sz w:val="22"/>
                <w:szCs w:val="22"/>
                <w:lang w:eastAsia="ru-RU"/>
              </w:rPr>
              <w:t>15.</w:t>
            </w:r>
            <w:r>
              <w:rPr>
                <w:rFonts w:ascii="Calibri" w:hAnsi="Calibri" w:cs="Calibri"/>
                <w:sz w:val="22"/>
                <w:szCs w:val="22"/>
                <w:lang w:eastAsia="ru-RU"/>
              </w:rPr>
              <w:t>11</w:t>
            </w:r>
          </w:p>
        </w:tc>
        <w:tc>
          <w:tcPr>
            <w:tcW w:w="8631" w:type="dxa"/>
            <w:vAlign w:val="center"/>
          </w:tcPr>
          <w:p w14:paraId="09D26468" w14:textId="72594E88" w:rsidR="00D6200B" w:rsidRPr="000051D4" w:rsidRDefault="00D6200B" w:rsidP="00602D5C">
            <w:pPr>
              <w:spacing w:line="276" w:lineRule="auto"/>
              <w:rPr>
                <w:rFonts w:ascii="Calibri" w:hAnsi="Calibri" w:cs="Calibri"/>
                <w:b/>
                <w:bCs/>
                <w:sz w:val="22"/>
                <w:szCs w:val="22"/>
                <w:lang w:eastAsia="ru-RU"/>
              </w:rPr>
            </w:pPr>
            <w:r w:rsidRPr="000051D4">
              <w:rPr>
                <w:rFonts w:ascii="Calibri" w:hAnsi="Calibri" w:cs="Calibri"/>
                <w:sz w:val="22"/>
                <w:szCs w:val="22"/>
                <w:lang w:eastAsia="ru-RU"/>
              </w:rPr>
              <w:t xml:space="preserve">Simultaneous interpretation lasting up to 1 hour </w:t>
            </w:r>
            <w:r w:rsidRPr="000051D4">
              <w:rPr>
                <w:rFonts w:ascii="Calibri" w:hAnsi="Calibri" w:cs="Calibri"/>
                <w:kern w:val="2"/>
                <w:sz w:val="22"/>
                <w:szCs w:val="22"/>
                <w:lang w:eastAsia="ru-RU"/>
                <w14:ligatures w14:val="standardContextual"/>
              </w:rPr>
              <w:t xml:space="preserve">(applies to </w:t>
            </w:r>
            <w:r w:rsidR="00557F3E">
              <w:rPr>
                <w:rFonts w:ascii="Calibri" w:hAnsi="Calibri" w:cs="Calibri"/>
                <w:kern w:val="2"/>
                <w:sz w:val="22"/>
                <w:szCs w:val="22"/>
                <w:lang w:eastAsia="ru-RU"/>
                <w14:ligatures w14:val="standardContextual"/>
              </w:rPr>
              <w:t>online</w:t>
            </w:r>
            <w:r w:rsidR="00557F3E" w:rsidRPr="000051D4">
              <w:rPr>
                <w:rFonts w:ascii="Calibri" w:hAnsi="Calibri" w:cs="Calibri"/>
                <w:kern w:val="2"/>
                <w:sz w:val="22"/>
                <w:szCs w:val="22"/>
                <w:lang w:eastAsia="ru-RU"/>
                <w14:ligatures w14:val="standardContextual"/>
              </w:rPr>
              <w:t xml:space="preserve"> </w:t>
            </w:r>
            <w:r w:rsidRPr="000051D4">
              <w:rPr>
                <w:rFonts w:ascii="Calibri" w:hAnsi="Calibri" w:cs="Calibri"/>
                <w:kern w:val="2"/>
                <w:sz w:val="22"/>
                <w:szCs w:val="22"/>
                <w:lang w:eastAsia="ru-RU"/>
                <w14:ligatures w14:val="standardContextual"/>
              </w:rPr>
              <w:t xml:space="preserve">events). </w:t>
            </w:r>
          </w:p>
        </w:tc>
      </w:tr>
      <w:tr w:rsidR="00D6200B" w:rsidRPr="000051D4" w14:paraId="0CEA2D44" w14:textId="77777777" w:rsidTr="00602D5C">
        <w:tc>
          <w:tcPr>
            <w:tcW w:w="997" w:type="dxa"/>
          </w:tcPr>
          <w:p w14:paraId="4C4C0941" w14:textId="77777777" w:rsidR="00D6200B" w:rsidRPr="000051D4" w:rsidRDefault="00D6200B" w:rsidP="00602D5C">
            <w:pPr>
              <w:spacing w:line="276" w:lineRule="auto"/>
              <w:rPr>
                <w:rFonts w:ascii="Calibri" w:hAnsi="Calibri" w:cs="Calibri"/>
                <w:sz w:val="22"/>
                <w:szCs w:val="22"/>
                <w:lang w:eastAsia="ru-RU"/>
              </w:rPr>
            </w:pPr>
            <w:r w:rsidRPr="000051D4">
              <w:rPr>
                <w:rFonts w:ascii="Calibri" w:hAnsi="Calibri" w:cs="Calibri"/>
                <w:sz w:val="22"/>
                <w:szCs w:val="22"/>
                <w:lang w:eastAsia="ru-RU"/>
              </w:rPr>
              <w:t>15.</w:t>
            </w:r>
            <w:r>
              <w:rPr>
                <w:rFonts w:ascii="Calibri" w:hAnsi="Calibri" w:cs="Calibri"/>
                <w:sz w:val="22"/>
                <w:szCs w:val="22"/>
                <w:lang w:eastAsia="ru-RU"/>
              </w:rPr>
              <w:t>12</w:t>
            </w:r>
          </w:p>
        </w:tc>
        <w:tc>
          <w:tcPr>
            <w:tcW w:w="8631" w:type="dxa"/>
            <w:vAlign w:val="center"/>
          </w:tcPr>
          <w:p w14:paraId="1C0BD4AA" w14:textId="5298566B" w:rsidR="00D6200B" w:rsidRPr="000051D4" w:rsidRDefault="00D6200B" w:rsidP="00602D5C">
            <w:pPr>
              <w:spacing w:line="276" w:lineRule="auto"/>
            </w:pPr>
            <w:r w:rsidRPr="000051D4">
              <w:rPr>
                <w:rFonts w:ascii="Calibri" w:hAnsi="Calibri" w:cs="Calibri"/>
                <w:sz w:val="22"/>
                <w:szCs w:val="22"/>
                <w:lang w:eastAsia="ru-RU"/>
              </w:rPr>
              <w:t xml:space="preserve">Simultaneous interpretation </w:t>
            </w:r>
            <w:r w:rsidR="00557F3E" w:rsidRPr="000051D4">
              <w:rPr>
                <w:rFonts w:ascii="Calibri" w:hAnsi="Calibri" w:cs="Calibri"/>
                <w:sz w:val="22"/>
                <w:szCs w:val="22"/>
                <w:lang w:eastAsia="ru-RU"/>
              </w:rPr>
              <w:t xml:space="preserve">lasting </w:t>
            </w:r>
            <w:r w:rsidRPr="000051D4">
              <w:rPr>
                <w:rFonts w:ascii="Calibri" w:hAnsi="Calibri" w:cs="Calibri"/>
                <w:sz w:val="22"/>
                <w:szCs w:val="22"/>
                <w:lang w:eastAsia="ru-RU"/>
              </w:rPr>
              <w:t>f</w:t>
            </w:r>
            <w:r w:rsidR="00AC3E9B">
              <w:rPr>
                <w:rFonts w:ascii="Calibri" w:hAnsi="Calibri" w:cs="Calibri"/>
                <w:sz w:val="22"/>
                <w:szCs w:val="22"/>
                <w:lang w:eastAsia="ru-RU"/>
              </w:rPr>
              <w:t>rom</w:t>
            </w:r>
            <w:r w:rsidRPr="000051D4">
              <w:rPr>
                <w:rFonts w:ascii="Calibri" w:hAnsi="Calibri" w:cs="Calibri"/>
                <w:sz w:val="22"/>
                <w:szCs w:val="22"/>
                <w:lang w:eastAsia="ru-RU"/>
              </w:rPr>
              <w:t xml:space="preserve"> 1 to 2 hours </w:t>
            </w:r>
            <w:r w:rsidRPr="000051D4">
              <w:rPr>
                <w:rFonts w:ascii="Calibri" w:hAnsi="Calibri" w:cs="Calibri"/>
                <w:kern w:val="2"/>
                <w:sz w:val="22"/>
                <w:szCs w:val="22"/>
                <w:lang w:eastAsia="ru-RU"/>
                <w14:ligatures w14:val="standardContextual"/>
              </w:rPr>
              <w:t xml:space="preserve">(applies to </w:t>
            </w:r>
            <w:r w:rsidR="00557F3E">
              <w:rPr>
                <w:rFonts w:ascii="Calibri" w:hAnsi="Calibri" w:cs="Calibri"/>
                <w:kern w:val="2"/>
                <w:sz w:val="22"/>
                <w:szCs w:val="22"/>
                <w:lang w:eastAsia="ru-RU"/>
                <w14:ligatures w14:val="standardContextual"/>
              </w:rPr>
              <w:t>online</w:t>
            </w:r>
            <w:r w:rsidR="00557F3E" w:rsidRPr="000051D4">
              <w:rPr>
                <w:rFonts w:ascii="Calibri" w:hAnsi="Calibri" w:cs="Calibri"/>
                <w:kern w:val="2"/>
                <w:sz w:val="22"/>
                <w:szCs w:val="22"/>
                <w:lang w:eastAsia="ru-RU"/>
                <w14:ligatures w14:val="standardContextual"/>
              </w:rPr>
              <w:t xml:space="preserve"> </w:t>
            </w:r>
            <w:r w:rsidRPr="000051D4">
              <w:rPr>
                <w:rFonts w:ascii="Calibri" w:hAnsi="Calibri" w:cs="Calibri"/>
                <w:kern w:val="2"/>
                <w:sz w:val="22"/>
                <w:szCs w:val="22"/>
                <w:lang w:eastAsia="ru-RU"/>
                <w14:ligatures w14:val="standardContextual"/>
              </w:rPr>
              <w:t xml:space="preserve">events). </w:t>
            </w:r>
          </w:p>
        </w:tc>
      </w:tr>
      <w:tr w:rsidR="00D6200B" w:rsidRPr="000051D4" w14:paraId="42DE7707" w14:textId="77777777" w:rsidTr="00602D5C">
        <w:tc>
          <w:tcPr>
            <w:tcW w:w="997" w:type="dxa"/>
          </w:tcPr>
          <w:p w14:paraId="0ED74354" w14:textId="77777777" w:rsidR="00D6200B" w:rsidRPr="000051D4" w:rsidRDefault="00D6200B" w:rsidP="00602D5C">
            <w:pPr>
              <w:spacing w:line="276" w:lineRule="auto"/>
              <w:rPr>
                <w:rFonts w:ascii="Calibri" w:hAnsi="Calibri" w:cs="Calibri"/>
                <w:sz w:val="22"/>
                <w:szCs w:val="22"/>
                <w:lang w:eastAsia="ru-RU"/>
              </w:rPr>
            </w:pPr>
            <w:r w:rsidRPr="000051D4">
              <w:rPr>
                <w:rFonts w:ascii="Calibri" w:hAnsi="Calibri" w:cs="Calibri"/>
                <w:sz w:val="22"/>
                <w:szCs w:val="22"/>
                <w:lang w:eastAsia="ru-RU"/>
              </w:rPr>
              <w:t>15.</w:t>
            </w:r>
            <w:r>
              <w:rPr>
                <w:rFonts w:ascii="Calibri" w:hAnsi="Calibri" w:cs="Calibri"/>
                <w:sz w:val="22"/>
                <w:szCs w:val="22"/>
                <w:lang w:eastAsia="ru-RU"/>
              </w:rPr>
              <w:t>13</w:t>
            </w:r>
          </w:p>
        </w:tc>
        <w:tc>
          <w:tcPr>
            <w:tcW w:w="8631" w:type="dxa"/>
            <w:vAlign w:val="center"/>
          </w:tcPr>
          <w:p w14:paraId="733E94C6" w14:textId="37EFE770" w:rsidR="00D6200B" w:rsidRPr="000051D4" w:rsidRDefault="00D6200B" w:rsidP="00602D5C">
            <w:pPr>
              <w:spacing w:line="276" w:lineRule="auto"/>
              <w:rPr>
                <w:rFonts w:ascii="Calibri" w:hAnsi="Calibri" w:cs="Calibri"/>
                <w:b/>
                <w:bCs/>
                <w:sz w:val="22"/>
                <w:szCs w:val="22"/>
                <w:lang w:eastAsia="ru-RU"/>
              </w:rPr>
            </w:pPr>
            <w:r w:rsidRPr="000051D4">
              <w:rPr>
                <w:rFonts w:ascii="Calibri" w:hAnsi="Calibri" w:cs="Calibri"/>
                <w:sz w:val="22"/>
                <w:szCs w:val="22"/>
                <w:lang w:eastAsia="ru-RU"/>
              </w:rPr>
              <w:t xml:space="preserve">Simultaneous interpretation </w:t>
            </w:r>
            <w:r w:rsidR="00557F3E" w:rsidRPr="000051D4">
              <w:rPr>
                <w:rFonts w:ascii="Calibri" w:hAnsi="Calibri" w:cs="Calibri"/>
                <w:sz w:val="22"/>
                <w:szCs w:val="22"/>
                <w:lang w:eastAsia="ru-RU"/>
              </w:rPr>
              <w:t xml:space="preserve">lasting </w:t>
            </w:r>
            <w:r w:rsidR="00AC3E9B">
              <w:rPr>
                <w:rFonts w:ascii="Calibri" w:hAnsi="Calibri" w:cs="Calibri"/>
                <w:sz w:val="22"/>
                <w:szCs w:val="22"/>
                <w:lang w:eastAsia="ru-RU"/>
              </w:rPr>
              <w:t>from</w:t>
            </w:r>
            <w:r w:rsidRPr="000051D4">
              <w:rPr>
                <w:rFonts w:ascii="Calibri" w:hAnsi="Calibri" w:cs="Calibri"/>
                <w:sz w:val="22"/>
                <w:szCs w:val="22"/>
                <w:lang w:eastAsia="ru-RU"/>
              </w:rPr>
              <w:t xml:space="preserve"> 2 to 3 hours </w:t>
            </w:r>
            <w:r w:rsidRPr="000051D4">
              <w:rPr>
                <w:rFonts w:ascii="Calibri" w:hAnsi="Calibri" w:cs="Calibri"/>
                <w:kern w:val="2"/>
                <w:sz w:val="22"/>
                <w:szCs w:val="22"/>
                <w:lang w:eastAsia="ru-RU"/>
                <w14:ligatures w14:val="standardContextual"/>
              </w:rPr>
              <w:t xml:space="preserve">(applies to </w:t>
            </w:r>
            <w:r w:rsidR="00557F3E">
              <w:rPr>
                <w:rFonts w:ascii="Calibri" w:hAnsi="Calibri" w:cs="Calibri"/>
                <w:kern w:val="2"/>
                <w:sz w:val="22"/>
                <w:szCs w:val="22"/>
                <w:lang w:eastAsia="ru-RU"/>
                <w14:ligatures w14:val="standardContextual"/>
              </w:rPr>
              <w:t>online</w:t>
            </w:r>
            <w:r w:rsidR="00557F3E" w:rsidRPr="000051D4">
              <w:rPr>
                <w:rFonts w:ascii="Calibri" w:hAnsi="Calibri" w:cs="Calibri"/>
                <w:kern w:val="2"/>
                <w:sz w:val="22"/>
                <w:szCs w:val="22"/>
                <w:lang w:eastAsia="ru-RU"/>
                <w14:ligatures w14:val="standardContextual"/>
              </w:rPr>
              <w:t xml:space="preserve"> </w:t>
            </w:r>
            <w:r w:rsidRPr="000051D4">
              <w:rPr>
                <w:rFonts w:ascii="Calibri" w:hAnsi="Calibri" w:cs="Calibri"/>
                <w:kern w:val="2"/>
                <w:sz w:val="22"/>
                <w:szCs w:val="22"/>
                <w:lang w:eastAsia="ru-RU"/>
                <w14:ligatures w14:val="standardContextual"/>
              </w:rPr>
              <w:t xml:space="preserve">events). </w:t>
            </w:r>
          </w:p>
        </w:tc>
      </w:tr>
      <w:tr w:rsidR="00D6200B" w:rsidRPr="000051D4" w14:paraId="0DD938F6" w14:textId="77777777" w:rsidTr="00602D5C">
        <w:tc>
          <w:tcPr>
            <w:tcW w:w="997" w:type="dxa"/>
          </w:tcPr>
          <w:p w14:paraId="6B890E33" w14:textId="77777777" w:rsidR="00D6200B" w:rsidRPr="000051D4" w:rsidRDefault="00D6200B" w:rsidP="00602D5C">
            <w:pPr>
              <w:spacing w:line="276" w:lineRule="auto"/>
              <w:rPr>
                <w:rFonts w:ascii="Calibri" w:hAnsi="Calibri" w:cs="Calibri"/>
                <w:sz w:val="22"/>
                <w:szCs w:val="22"/>
                <w:lang w:eastAsia="ru-RU"/>
              </w:rPr>
            </w:pPr>
            <w:r w:rsidRPr="000051D4">
              <w:rPr>
                <w:rFonts w:ascii="Calibri" w:hAnsi="Calibri" w:cs="Calibri"/>
                <w:sz w:val="22"/>
                <w:szCs w:val="22"/>
                <w:lang w:eastAsia="ru-RU"/>
              </w:rPr>
              <w:t>15.</w:t>
            </w:r>
            <w:r>
              <w:rPr>
                <w:rFonts w:ascii="Calibri" w:hAnsi="Calibri" w:cs="Calibri"/>
                <w:sz w:val="22"/>
                <w:szCs w:val="22"/>
                <w:lang w:eastAsia="ru-RU"/>
              </w:rPr>
              <w:t>14</w:t>
            </w:r>
          </w:p>
        </w:tc>
        <w:tc>
          <w:tcPr>
            <w:tcW w:w="8631" w:type="dxa"/>
            <w:vAlign w:val="center"/>
          </w:tcPr>
          <w:p w14:paraId="03F29F63" w14:textId="3CC4269F" w:rsidR="00D6200B" w:rsidRPr="000051D4" w:rsidRDefault="00D6200B" w:rsidP="00602D5C">
            <w:pPr>
              <w:spacing w:line="276" w:lineRule="auto"/>
              <w:rPr>
                <w:rFonts w:ascii="Calibri" w:hAnsi="Calibri" w:cs="Calibri"/>
                <w:sz w:val="22"/>
                <w:szCs w:val="22"/>
                <w:lang w:eastAsia="ru-RU"/>
              </w:rPr>
            </w:pPr>
            <w:r w:rsidRPr="000051D4">
              <w:rPr>
                <w:rFonts w:ascii="Calibri" w:hAnsi="Calibri" w:cs="Calibri"/>
                <w:sz w:val="22"/>
                <w:szCs w:val="22"/>
                <w:lang w:eastAsia="ru-RU"/>
              </w:rPr>
              <w:t xml:space="preserve">Simultaneous interpretation </w:t>
            </w:r>
            <w:r w:rsidR="00557F3E" w:rsidRPr="000051D4">
              <w:rPr>
                <w:rFonts w:ascii="Calibri" w:hAnsi="Calibri" w:cs="Calibri"/>
                <w:sz w:val="22"/>
                <w:szCs w:val="22"/>
                <w:lang w:eastAsia="ru-RU"/>
              </w:rPr>
              <w:t xml:space="preserve">lasting </w:t>
            </w:r>
            <w:r w:rsidRPr="000051D4">
              <w:rPr>
                <w:rFonts w:ascii="Calibri" w:hAnsi="Calibri" w:cs="Calibri"/>
                <w:sz w:val="22"/>
                <w:szCs w:val="22"/>
                <w:lang w:eastAsia="ru-RU"/>
              </w:rPr>
              <w:t>f</w:t>
            </w:r>
            <w:r w:rsidR="00557F3E">
              <w:rPr>
                <w:rFonts w:ascii="Calibri" w:hAnsi="Calibri" w:cs="Calibri"/>
                <w:sz w:val="22"/>
                <w:szCs w:val="22"/>
                <w:lang w:eastAsia="ru-RU"/>
              </w:rPr>
              <w:t>rom</w:t>
            </w:r>
            <w:r w:rsidRPr="000051D4">
              <w:rPr>
                <w:rFonts w:ascii="Calibri" w:hAnsi="Calibri" w:cs="Calibri"/>
                <w:sz w:val="22"/>
                <w:szCs w:val="22"/>
                <w:lang w:eastAsia="ru-RU"/>
              </w:rPr>
              <w:t xml:space="preserve"> 3 to 4 hours </w:t>
            </w:r>
            <w:r w:rsidRPr="000051D4">
              <w:rPr>
                <w:rFonts w:ascii="Calibri" w:hAnsi="Calibri" w:cs="Calibri"/>
                <w:kern w:val="2"/>
                <w:sz w:val="22"/>
                <w:szCs w:val="22"/>
                <w:lang w:eastAsia="ru-RU"/>
                <w14:ligatures w14:val="standardContextual"/>
              </w:rPr>
              <w:t xml:space="preserve">(applies to </w:t>
            </w:r>
            <w:r w:rsidR="00557F3E">
              <w:rPr>
                <w:rFonts w:ascii="Calibri" w:hAnsi="Calibri" w:cs="Calibri"/>
                <w:kern w:val="2"/>
                <w:sz w:val="22"/>
                <w:szCs w:val="22"/>
                <w:lang w:eastAsia="ru-RU"/>
                <w14:ligatures w14:val="standardContextual"/>
              </w:rPr>
              <w:t>online</w:t>
            </w:r>
            <w:r w:rsidR="00557F3E" w:rsidRPr="000051D4">
              <w:rPr>
                <w:rFonts w:ascii="Calibri" w:hAnsi="Calibri" w:cs="Calibri"/>
                <w:kern w:val="2"/>
                <w:sz w:val="22"/>
                <w:szCs w:val="22"/>
                <w:lang w:eastAsia="ru-RU"/>
                <w14:ligatures w14:val="standardContextual"/>
              </w:rPr>
              <w:t xml:space="preserve"> </w:t>
            </w:r>
            <w:r w:rsidRPr="000051D4">
              <w:rPr>
                <w:rFonts w:ascii="Calibri" w:hAnsi="Calibri" w:cs="Calibri"/>
                <w:kern w:val="2"/>
                <w:sz w:val="22"/>
                <w:szCs w:val="22"/>
                <w:lang w:eastAsia="ru-RU"/>
                <w14:ligatures w14:val="standardContextual"/>
              </w:rPr>
              <w:t xml:space="preserve">events). </w:t>
            </w:r>
          </w:p>
        </w:tc>
      </w:tr>
      <w:tr w:rsidR="00D6200B" w:rsidRPr="000051D4" w14:paraId="52C58D16" w14:textId="77777777" w:rsidTr="00602D5C">
        <w:tc>
          <w:tcPr>
            <w:tcW w:w="997" w:type="dxa"/>
          </w:tcPr>
          <w:p w14:paraId="616AFE58" w14:textId="77777777" w:rsidR="00D6200B" w:rsidRPr="000051D4" w:rsidRDefault="00D6200B" w:rsidP="00602D5C">
            <w:pPr>
              <w:spacing w:line="276" w:lineRule="auto"/>
              <w:rPr>
                <w:rFonts w:ascii="Calibri" w:hAnsi="Calibri" w:cs="Calibri"/>
                <w:sz w:val="22"/>
                <w:szCs w:val="22"/>
                <w:lang w:eastAsia="ru-RU"/>
              </w:rPr>
            </w:pPr>
            <w:r w:rsidRPr="000051D4">
              <w:rPr>
                <w:rFonts w:ascii="Calibri" w:hAnsi="Calibri" w:cs="Calibri"/>
                <w:sz w:val="22"/>
                <w:szCs w:val="22"/>
                <w:lang w:eastAsia="ru-RU"/>
              </w:rPr>
              <w:t>15.</w:t>
            </w:r>
            <w:r>
              <w:rPr>
                <w:rFonts w:ascii="Calibri" w:hAnsi="Calibri" w:cs="Calibri"/>
                <w:sz w:val="22"/>
                <w:szCs w:val="22"/>
                <w:lang w:eastAsia="ru-RU"/>
              </w:rPr>
              <w:t>15</w:t>
            </w:r>
          </w:p>
        </w:tc>
        <w:tc>
          <w:tcPr>
            <w:tcW w:w="8631" w:type="dxa"/>
            <w:vAlign w:val="center"/>
          </w:tcPr>
          <w:p w14:paraId="60AC7306" w14:textId="47B645D1" w:rsidR="00D6200B" w:rsidRPr="000051D4" w:rsidRDefault="00D6200B" w:rsidP="00602D5C">
            <w:pPr>
              <w:spacing w:line="276" w:lineRule="auto"/>
              <w:rPr>
                <w:rFonts w:ascii="Calibri" w:hAnsi="Calibri" w:cs="Calibri"/>
                <w:sz w:val="22"/>
                <w:szCs w:val="22"/>
              </w:rPr>
            </w:pPr>
            <w:r w:rsidRPr="000051D4">
              <w:rPr>
                <w:rFonts w:ascii="Calibri" w:hAnsi="Calibri" w:cs="Calibri"/>
                <w:sz w:val="22"/>
                <w:szCs w:val="22"/>
                <w:lang w:eastAsia="ru-RU"/>
              </w:rPr>
              <w:t>Simultaneous interpretation lasting</w:t>
            </w:r>
            <w:r w:rsidR="00557F3E">
              <w:rPr>
                <w:rFonts w:ascii="Calibri" w:hAnsi="Calibri" w:cs="Calibri"/>
                <w:sz w:val="22"/>
                <w:szCs w:val="22"/>
                <w:lang w:eastAsia="ru-RU"/>
              </w:rPr>
              <w:t xml:space="preserve"> from</w:t>
            </w:r>
            <w:r w:rsidRPr="000051D4">
              <w:rPr>
                <w:rFonts w:ascii="Calibri" w:hAnsi="Calibri" w:cs="Calibri"/>
                <w:sz w:val="22"/>
                <w:szCs w:val="22"/>
                <w:lang w:eastAsia="ru-RU"/>
              </w:rPr>
              <w:t xml:space="preserve"> more than 4 to 8 hours </w:t>
            </w:r>
            <w:r w:rsidRPr="000051D4">
              <w:rPr>
                <w:rFonts w:ascii="Calibri" w:hAnsi="Calibri" w:cs="Calibri"/>
                <w:kern w:val="2"/>
                <w:sz w:val="22"/>
                <w:szCs w:val="22"/>
                <w:lang w:eastAsia="ru-RU"/>
                <w14:ligatures w14:val="standardContextual"/>
              </w:rPr>
              <w:t xml:space="preserve">(applies to </w:t>
            </w:r>
            <w:r w:rsidR="00557F3E">
              <w:rPr>
                <w:rFonts w:ascii="Calibri" w:hAnsi="Calibri" w:cs="Calibri"/>
                <w:kern w:val="2"/>
                <w:sz w:val="22"/>
                <w:szCs w:val="22"/>
                <w:lang w:eastAsia="ru-RU"/>
                <w14:ligatures w14:val="standardContextual"/>
              </w:rPr>
              <w:t>online</w:t>
            </w:r>
            <w:r w:rsidR="00557F3E" w:rsidRPr="000051D4">
              <w:rPr>
                <w:rFonts w:ascii="Calibri" w:hAnsi="Calibri" w:cs="Calibri"/>
                <w:kern w:val="2"/>
                <w:sz w:val="22"/>
                <w:szCs w:val="22"/>
                <w:lang w:eastAsia="ru-RU"/>
                <w14:ligatures w14:val="standardContextual"/>
              </w:rPr>
              <w:t xml:space="preserve"> </w:t>
            </w:r>
            <w:r w:rsidRPr="000051D4">
              <w:rPr>
                <w:rFonts w:ascii="Calibri" w:hAnsi="Calibri" w:cs="Calibri"/>
                <w:kern w:val="2"/>
                <w:sz w:val="22"/>
                <w:szCs w:val="22"/>
                <w:lang w:eastAsia="ru-RU"/>
                <w14:ligatures w14:val="standardContextual"/>
              </w:rPr>
              <w:t xml:space="preserve">events). </w:t>
            </w:r>
          </w:p>
        </w:tc>
      </w:tr>
      <w:tr w:rsidR="00D6200B" w:rsidRPr="000051D4" w14:paraId="55C92745" w14:textId="77777777" w:rsidTr="00602D5C">
        <w:tc>
          <w:tcPr>
            <w:tcW w:w="997" w:type="dxa"/>
          </w:tcPr>
          <w:p w14:paraId="7FC27202" w14:textId="77777777" w:rsidR="00D6200B" w:rsidRPr="000051D4" w:rsidRDefault="00D6200B" w:rsidP="00602D5C">
            <w:pPr>
              <w:spacing w:line="276" w:lineRule="auto"/>
              <w:rPr>
                <w:rFonts w:ascii="Calibri" w:hAnsi="Calibri" w:cs="Calibri"/>
                <w:sz w:val="22"/>
                <w:szCs w:val="22"/>
                <w:lang w:eastAsia="ru-RU"/>
              </w:rPr>
            </w:pPr>
            <w:r w:rsidRPr="000051D4">
              <w:rPr>
                <w:rFonts w:ascii="Calibri" w:hAnsi="Calibri" w:cs="Calibri"/>
                <w:sz w:val="22"/>
                <w:szCs w:val="22"/>
                <w:lang w:eastAsia="ru-RU"/>
              </w:rPr>
              <w:t>15.</w:t>
            </w:r>
            <w:r>
              <w:rPr>
                <w:rFonts w:ascii="Calibri" w:hAnsi="Calibri" w:cs="Calibri"/>
                <w:sz w:val="22"/>
                <w:szCs w:val="22"/>
                <w:lang w:eastAsia="ru-RU"/>
              </w:rPr>
              <w:t>16</w:t>
            </w:r>
          </w:p>
        </w:tc>
        <w:tc>
          <w:tcPr>
            <w:tcW w:w="8631" w:type="dxa"/>
            <w:vAlign w:val="center"/>
          </w:tcPr>
          <w:p w14:paraId="619CC1F1" w14:textId="1A8065BF" w:rsidR="00D6200B" w:rsidRPr="000051D4" w:rsidRDefault="00D6200B" w:rsidP="00602D5C">
            <w:pPr>
              <w:spacing w:line="276" w:lineRule="auto"/>
              <w:rPr>
                <w:rFonts w:ascii="Calibri" w:hAnsi="Calibri" w:cs="Calibri"/>
                <w:b/>
                <w:bCs/>
                <w:sz w:val="22"/>
                <w:szCs w:val="22"/>
                <w:lang w:eastAsia="ru-RU"/>
              </w:rPr>
            </w:pPr>
            <w:r w:rsidRPr="000051D4">
              <w:rPr>
                <w:rFonts w:ascii="Calibri" w:hAnsi="Calibri" w:cs="Calibri"/>
                <w:sz w:val="22"/>
                <w:szCs w:val="22"/>
                <w:lang w:eastAsia="ru-RU"/>
              </w:rPr>
              <w:t xml:space="preserve">Simultaneous interpretation </w:t>
            </w:r>
            <w:r w:rsidR="00557F3E" w:rsidRPr="000051D4">
              <w:rPr>
                <w:rFonts w:ascii="Calibri" w:hAnsi="Calibri" w:cs="Calibri"/>
                <w:sz w:val="22"/>
                <w:szCs w:val="22"/>
                <w:lang w:eastAsia="ru-RU"/>
              </w:rPr>
              <w:t xml:space="preserve">lasting </w:t>
            </w:r>
            <w:r w:rsidRPr="000051D4">
              <w:rPr>
                <w:rFonts w:ascii="Calibri" w:hAnsi="Calibri" w:cs="Calibri"/>
                <w:sz w:val="22"/>
                <w:szCs w:val="22"/>
                <w:lang w:eastAsia="ru-RU"/>
              </w:rPr>
              <w:t xml:space="preserve">up to 1 hour </w:t>
            </w:r>
            <w:r w:rsidRPr="000051D4">
              <w:rPr>
                <w:rFonts w:ascii="Calibri" w:hAnsi="Calibri" w:cs="Calibri"/>
                <w:kern w:val="2"/>
                <w:sz w:val="22"/>
                <w:szCs w:val="22"/>
                <w:lang w:eastAsia="ru-RU"/>
                <w14:ligatures w14:val="standardContextual"/>
              </w:rPr>
              <w:t>(applies to physical events</w:t>
            </w:r>
            <w:r w:rsidR="00557F3E">
              <w:rPr>
                <w:rFonts w:ascii="Calibri" w:hAnsi="Calibri" w:cs="Calibri"/>
                <w:kern w:val="2"/>
                <w:sz w:val="22"/>
                <w:szCs w:val="22"/>
                <w:lang w:eastAsia="ru-RU"/>
                <w14:ligatures w14:val="standardContextual"/>
              </w:rPr>
              <w:t xml:space="preserve"> </w:t>
            </w:r>
            <w:r w:rsidR="00557F3E" w:rsidRPr="000051D4">
              <w:rPr>
                <w:rFonts w:ascii="Calibri" w:hAnsi="Calibri" w:cs="Calibri"/>
                <w:kern w:val="2"/>
                <w:sz w:val="22"/>
                <w:szCs w:val="22"/>
                <w:lang w:eastAsia="ru-RU"/>
                <w14:ligatures w14:val="standardContextual"/>
              </w:rPr>
              <w:t>and on-site interpreting</w:t>
            </w:r>
            <w:r w:rsidRPr="000051D4">
              <w:rPr>
                <w:rFonts w:ascii="Calibri" w:hAnsi="Calibri" w:cs="Calibri"/>
                <w:kern w:val="2"/>
                <w:sz w:val="22"/>
                <w:szCs w:val="22"/>
                <w:lang w:eastAsia="ru-RU"/>
                <w14:ligatures w14:val="standardContextual"/>
              </w:rPr>
              <w:t xml:space="preserve">). </w:t>
            </w:r>
          </w:p>
        </w:tc>
      </w:tr>
      <w:tr w:rsidR="00D6200B" w:rsidRPr="000051D4" w14:paraId="5893B4A6" w14:textId="77777777" w:rsidTr="00602D5C">
        <w:tc>
          <w:tcPr>
            <w:tcW w:w="997" w:type="dxa"/>
          </w:tcPr>
          <w:p w14:paraId="20F47169" w14:textId="77777777" w:rsidR="00D6200B" w:rsidRPr="000051D4" w:rsidRDefault="00D6200B" w:rsidP="00602D5C">
            <w:pPr>
              <w:spacing w:line="276" w:lineRule="auto"/>
              <w:rPr>
                <w:rFonts w:ascii="Calibri" w:hAnsi="Calibri" w:cs="Calibri"/>
                <w:sz w:val="22"/>
                <w:szCs w:val="22"/>
                <w:lang w:eastAsia="ru-RU"/>
              </w:rPr>
            </w:pPr>
            <w:r w:rsidRPr="000051D4">
              <w:rPr>
                <w:rFonts w:ascii="Calibri" w:hAnsi="Calibri" w:cs="Calibri"/>
                <w:sz w:val="22"/>
                <w:szCs w:val="22"/>
                <w:lang w:eastAsia="ru-RU"/>
              </w:rPr>
              <w:t>15.17</w:t>
            </w:r>
          </w:p>
        </w:tc>
        <w:tc>
          <w:tcPr>
            <w:tcW w:w="8631" w:type="dxa"/>
            <w:vAlign w:val="center"/>
          </w:tcPr>
          <w:p w14:paraId="5CAF9FD6" w14:textId="348CE3A4" w:rsidR="00D6200B" w:rsidRPr="000051D4" w:rsidRDefault="00D6200B" w:rsidP="00602D5C">
            <w:pPr>
              <w:spacing w:line="276" w:lineRule="auto"/>
              <w:rPr>
                <w:rFonts w:ascii="Calibri" w:hAnsi="Calibri" w:cs="Calibri"/>
                <w:b/>
                <w:bCs/>
                <w:sz w:val="22"/>
                <w:szCs w:val="22"/>
                <w:lang w:eastAsia="ru-RU"/>
              </w:rPr>
            </w:pPr>
            <w:r w:rsidRPr="000051D4">
              <w:rPr>
                <w:rFonts w:ascii="Calibri" w:hAnsi="Calibri" w:cs="Calibri"/>
                <w:sz w:val="22"/>
                <w:szCs w:val="22"/>
                <w:lang w:eastAsia="ru-RU"/>
              </w:rPr>
              <w:t xml:space="preserve">Simultaneous interpretation </w:t>
            </w:r>
            <w:r w:rsidR="00557F3E" w:rsidRPr="000051D4">
              <w:rPr>
                <w:rFonts w:ascii="Calibri" w:hAnsi="Calibri" w:cs="Calibri"/>
                <w:sz w:val="22"/>
                <w:szCs w:val="22"/>
                <w:lang w:eastAsia="ru-RU"/>
              </w:rPr>
              <w:t xml:space="preserve">lasting </w:t>
            </w:r>
            <w:r w:rsidRPr="000051D4">
              <w:rPr>
                <w:rFonts w:ascii="Calibri" w:hAnsi="Calibri" w:cs="Calibri"/>
                <w:sz w:val="22"/>
                <w:szCs w:val="22"/>
                <w:lang w:eastAsia="ru-RU"/>
              </w:rPr>
              <w:t>f</w:t>
            </w:r>
            <w:r w:rsidR="00557F3E">
              <w:rPr>
                <w:rFonts w:ascii="Calibri" w:hAnsi="Calibri" w:cs="Calibri"/>
                <w:sz w:val="22"/>
                <w:szCs w:val="22"/>
                <w:lang w:eastAsia="ru-RU"/>
              </w:rPr>
              <w:t>rom</w:t>
            </w:r>
            <w:r w:rsidRPr="000051D4">
              <w:rPr>
                <w:rFonts w:ascii="Calibri" w:hAnsi="Calibri" w:cs="Calibri"/>
                <w:sz w:val="22"/>
                <w:szCs w:val="22"/>
                <w:lang w:eastAsia="ru-RU"/>
              </w:rPr>
              <w:t xml:space="preserve"> 1 to 2 hours </w:t>
            </w:r>
            <w:r w:rsidRPr="000051D4">
              <w:rPr>
                <w:rFonts w:ascii="Calibri" w:hAnsi="Calibri" w:cs="Calibri"/>
                <w:kern w:val="2"/>
                <w:sz w:val="22"/>
                <w:szCs w:val="22"/>
                <w:lang w:eastAsia="ru-RU"/>
                <w14:ligatures w14:val="standardContextual"/>
              </w:rPr>
              <w:t>(applies to physical events</w:t>
            </w:r>
            <w:r w:rsidR="00557F3E">
              <w:rPr>
                <w:rFonts w:ascii="Calibri" w:hAnsi="Calibri" w:cs="Calibri"/>
                <w:kern w:val="2"/>
                <w:sz w:val="22"/>
                <w:szCs w:val="22"/>
                <w:lang w:eastAsia="ru-RU"/>
                <w14:ligatures w14:val="standardContextual"/>
              </w:rPr>
              <w:t xml:space="preserve"> </w:t>
            </w:r>
            <w:r w:rsidR="00557F3E" w:rsidRPr="000051D4">
              <w:rPr>
                <w:rFonts w:ascii="Calibri" w:hAnsi="Calibri" w:cs="Calibri"/>
                <w:kern w:val="2"/>
                <w:sz w:val="22"/>
                <w:szCs w:val="22"/>
                <w:lang w:eastAsia="ru-RU"/>
                <w14:ligatures w14:val="standardContextual"/>
              </w:rPr>
              <w:t>and on-site interpreting</w:t>
            </w:r>
            <w:r w:rsidRPr="000051D4">
              <w:rPr>
                <w:rFonts w:ascii="Calibri" w:hAnsi="Calibri" w:cs="Calibri"/>
                <w:kern w:val="2"/>
                <w:sz w:val="22"/>
                <w:szCs w:val="22"/>
                <w:lang w:eastAsia="ru-RU"/>
                <w14:ligatures w14:val="standardContextual"/>
              </w:rPr>
              <w:t xml:space="preserve">). </w:t>
            </w:r>
          </w:p>
        </w:tc>
      </w:tr>
      <w:tr w:rsidR="00D6200B" w:rsidRPr="000051D4" w14:paraId="5D686CEF" w14:textId="77777777" w:rsidTr="00602D5C">
        <w:tc>
          <w:tcPr>
            <w:tcW w:w="997" w:type="dxa"/>
          </w:tcPr>
          <w:p w14:paraId="35863154" w14:textId="77777777" w:rsidR="00D6200B" w:rsidRPr="000051D4" w:rsidRDefault="00D6200B" w:rsidP="00602D5C">
            <w:pPr>
              <w:spacing w:line="276" w:lineRule="auto"/>
              <w:rPr>
                <w:rFonts w:ascii="Calibri" w:hAnsi="Calibri" w:cs="Calibri"/>
                <w:sz w:val="22"/>
                <w:szCs w:val="22"/>
                <w:lang w:eastAsia="ru-RU"/>
              </w:rPr>
            </w:pPr>
            <w:r w:rsidRPr="000051D4">
              <w:rPr>
                <w:rFonts w:ascii="Calibri" w:hAnsi="Calibri" w:cs="Calibri"/>
                <w:sz w:val="22"/>
                <w:szCs w:val="22"/>
                <w:lang w:eastAsia="ru-RU"/>
              </w:rPr>
              <w:t>15.</w:t>
            </w:r>
            <w:r>
              <w:rPr>
                <w:rFonts w:ascii="Calibri" w:hAnsi="Calibri" w:cs="Calibri"/>
                <w:sz w:val="22"/>
                <w:szCs w:val="22"/>
                <w:lang w:eastAsia="ru-RU"/>
              </w:rPr>
              <w:t>18</w:t>
            </w:r>
          </w:p>
        </w:tc>
        <w:tc>
          <w:tcPr>
            <w:tcW w:w="8631" w:type="dxa"/>
            <w:vAlign w:val="center"/>
          </w:tcPr>
          <w:p w14:paraId="781F2201" w14:textId="191B4919" w:rsidR="00D6200B" w:rsidRPr="000051D4" w:rsidRDefault="00D6200B" w:rsidP="00602D5C">
            <w:pPr>
              <w:spacing w:line="276" w:lineRule="auto"/>
              <w:rPr>
                <w:rFonts w:ascii="Calibri" w:hAnsi="Calibri" w:cs="Calibri"/>
                <w:b/>
                <w:bCs/>
                <w:sz w:val="22"/>
                <w:szCs w:val="22"/>
                <w:lang w:eastAsia="ru-RU"/>
              </w:rPr>
            </w:pPr>
            <w:r w:rsidRPr="000051D4">
              <w:rPr>
                <w:rFonts w:ascii="Calibri" w:hAnsi="Calibri" w:cs="Calibri"/>
                <w:sz w:val="22"/>
                <w:szCs w:val="22"/>
                <w:lang w:eastAsia="ru-RU"/>
              </w:rPr>
              <w:t xml:space="preserve">Simultaneous interpretation </w:t>
            </w:r>
            <w:r w:rsidR="00557F3E" w:rsidRPr="000051D4">
              <w:rPr>
                <w:rFonts w:ascii="Calibri" w:hAnsi="Calibri" w:cs="Calibri"/>
                <w:sz w:val="22"/>
                <w:szCs w:val="22"/>
                <w:lang w:eastAsia="ru-RU"/>
              </w:rPr>
              <w:t xml:space="preserve">lasting </w:t>
            </w:r>
            <w:r w:rsidRPr="000051D4">
              <w:rPr>
                <w:rFonts w:ascii="Calibri" w:hAnsi="Calibri" w:cs="Calibri"/>
                <w:sz w:val="22"/>
                <w:szCs w:val="22"/>
                <w:lang w:eastAsia="ru-RU"/>
              </w:rPr>
              <w:t>f</w:t>
            </w:r>
            <w:r w:rsidR="00557F3E">
              <w:rPr>
                <w:rFonts w:ascii="Calibri" w:hAnsi="Calibri" w:cs="Calibri"/>
                <w:sz w:val="22"/>
                <w:szCs w:val="22"/>
                <w:lang w:eastAsia="ru-RU"/>
              </w:rPr>
              <w:t>rom</w:t>
            </w:r>
            <w:r w:rsidRPr="000051D4">
              <w:rPr>
                <w:rFonts w:ascii="Calibri" w:hAnsi="Calibri" w:cs="Calibri"/>
                <w:sz w:val="22"/>
                <w:szCs w:val="22"/>
                <w:lang w:eastAsia="ru-RU"/>
              </w:rPr>
              <w:t xml:space="preserve"> 2 to 3 hours </w:t>
            </w:r>
            <w:r w:rsidRPr="000051D4">
              <w:rPr>
                <w:rFonts w:ascii="Calibri" w:hAnsi="Calibri" w:cs="Calibri"/>
                <w:kern w:val="2"/>
                <w:sz w:val="22"/>
                <w:szCs w:val="22"/>
                <w:lang w:eastAsia="ru-RU"/>
                <w14:ligatures w14:val="standardContextual"/>
              </w:rPr>
              <w:t>(applies to physical events</w:t>
            </w:r>
            <w:r w:rsidR="00557F3E">
              <w:rPr>
                <w:rFonts w:ascii="Calibri" w:hAnsi="Calibri" w:cs="Calibri"/>
                <w:kern w:val="2"/>
                <w:sz w:val="22"/>
                <w:szCs w:val="22"/>
                <w:lang w:eastAsia="ru-RU"/>
                <w14:ligatures w14:val="standardContextual"/>
              </w:rPr>
              <w:t xml:space="preserve"> </w:t>
            </w:r>
            <w:r w:rsidR="00557F3E" w:rsidRPr="000051D4">
              <w:rPr>
                <w:rFonts w:ascii="Calibri" w:hAnsi="Calibri" w:cs="Calibri"/>
                <w:kern w:val="2"/>
                <w:sz w:val="22"/>
                <w:szCs w:val="22"/>
                <w:lang w:eastAsia="ru-RU"/>
                <w14:ligatures w14:val="standardContextual"/>
              </w:rPr>
              <w:t>and on-site interpreting</w:t>
            </w:r>
            <w:r w:rsidRPr="000051D4">
              <w:rPr>
                <w:rFonts w:ascii="Calibri" w:hAnsi="Calibri" w:cs="Calibri"/>
                <w:kern w:val="2"/>
                <w:sz w:val="22"/>
                <w:szCs w:val="22"/>
                <w:lang w:eastAsia="ru-RU"/>
                <w14:ligatures w14:val="standardContextual"/>
              </w:rPr>
              <w:t xml:space="preserve">). </w:t>
            </w:r>
          </w:p>
        </w:tc>
      </w:tr>
      <w:tr w:rsidR="00D6200B" w:rsidRPr="000051D4" w14:paraId="1F585B33" w14:textId="77777777" w:rsidTr="00602D5C">
        <w:tc>
          <w:tcPr>
            <w:tcW w:w="997" w:type="dxa"/>
          </w:tcPr>
          <w:p w14:paraId="0A27EE4F" w14:textId="77777777" w:rsidR="00D6200B" w:rsidRPr="000051D4" w:rsidRDefault="00D6200B" w:rsidP="00602D5C">
            <w:pPr>
              <w:spacing w:line="276" w:lineRule="auto"/>
              <w:rPr>
                <w:rFonts w:ascii="Calibri" w:hAnsi="Calibri" w:cs="Calibri"/>
                <w:sz w:val="22"/>
                <w:szCs w:val="22"/>
                <w:lang w:eastAsia="ru-RU"/>
              </w:rPr>
            </w:pPr>
            <w:r w:rsidRPr="000051D4">
              <w:rPr>
                <w:rFonts w:ascii="Calibri" w:hAnsi="Calibri" w:cs="Calibri"/>
                <w:sz w:val="22"/>
                <w:szCs w:val="22"/>
                <w:lang w:eastAsia="ru-RU"/>
              </w:rPr>
              <w:t>15.</w:t>
            </w:r>
            <w:r>
              <w:rPr>
                <w:rFonts w:ascii="Calibri" w:hAnsi="Calibri" w:cs="Calibri"/>
                <w:sz w:val="22"/>
                <w:szCs w:val="22"/>
                <w:lang w:eastAsia="ru-RU"/>
              </w:rPr>
              <w:t>19</w:t>
            </w:r>
          </w:p>
        </w:tc>
        <w:tc>
          <w:tcPr>
            <w:tcW w:w="8631" w:type="dxa"/>
            <w:vAlign w:val="center"/>
          </w:tcPr>
          <w:p w14:paraId="38EE0C3D" w14:textId="2505941E" w:rsidR="00D6200B" w:rsidRPr="000051D4" w:rsidRDefault="00D6200B" w:rsidP="00602D5C">
            <w:pPr>
              <w:spacing w:line="276" w:lineRule="auto"/>
              <w:rPr>
                <w:rFonts w:ascii="Calibri" w:hAnsi="Calibri" w:cs="Calibri"/>
                <w:sz w:val="22"/>
                <w:szCs w:val="22"/>
              </w:rPr>
            </w:pPr>
            <w:r w:rsidRPr="000051D4">
              <w:rPr>
                <w:rFonts w:ascii="Calibri" w:hAnsi="Calibri" w:cs="Calibri"/>
                <w:sz w:val="22"/>
                <w:szCs w:val="22"/>
                <w:lang w:eastAsia="ru-RU"/>
              </w:rPr>
              <w:t xml:space="preserve">Simultaneous interpretation </w:t>
            </w:r>
            <w:r w:rsidR="00557F3E" w:rsidRPr="000051D4">
              <w:rPr>
                <w:rFonts w:ascii="Calibri" w:hAnsi="Calibri" w:cs="Calibri"/>
                <w:sz w:val="22"/>
                <w:szCs w:val="22"/>
                <w:lang w:eastAsia="ru-RU"/>
              </w:rPr>
              <w:t xml:space="preserve">lasting </w:t>
            </w:r>
            <w:r w:rsidRPr="000051D4">
              <w:rPr>
                <w:rFonts w:ascii="Calibri" w:hAnsi="Calibri" w:cs="Calibri"/>
                <w:sz w:val="22"/>
                <w:szCs w:val="22"/>
                <w:lang w:eastAsia="ru-RU"/>
              </w:rPr>
              <w:t>fr</w:t>
            </w:r>
            <w:r w:rsidR="00557F3E">
              <w:rPr>
                <w:rFonts w:ascii="Calibri" w:hAnsi="Calibri" w:cs="Calibri"/>
                <w:sz w:val="22"/>
                <w:szCs w:val="22"/>
                <w:lang w:eastAsia="ru-RU"/>
              </w:rPr>
              <w:t>om</w:t>
            </w:r>
            <w:r w:rsidRPr="000051D4">
              <w:rPr>
                <w:rFonts w:ascii="Calibri" w:hAnsi="Calibri" w:cs="Calibri"/>
                <w:sz w:val="22"/>
                <w:szCs w:val="22"/>
                <w:lang w:eastAsia="ru-RU"/>
              </w:rPr>
              <w:t xml:space="preserve"> 3 to 4 hours </w:t>
            </w:r>
            <w:r w:rsidRPr="000051D4">
              <w:rPr>
                <w:rFonts w:ascii="Calibri" w:hAnsi="Calibri" w:cs="Calibri"/>
                <w:kern w:val="2"/>
                <w:sz w:val="22"/>
                <w:szCs w:val="22"/>
                <w:lang w:eastAsia="ru-RU"/>
                <w14:ligatures w14:val="standardContextual"/>
              </w:rPr>
              <w:t>(applies to physical events</w:t>
            </w:r>
            <w:r w:rsidR="00557F3E">
              <w:rPr>
                <w:rFonts w:ascii="Calibri" w:hAnsi="Calibri" w:cs="Calibri"/>
                <w:kern w:val="2"/>
                <w:sz w:val="22"/>
                <w:szCs w:val="22"/>
                <w:lang w:eastAsia="ru-RU"/>
                <w14:ligatures w14:val="standardContextual"/>
              </w:rPr>
              <w:t xml:space="preserve"> </w:t>
            </w:r>
            <w:r w:rsidR="00557F3E" w:rsidRPr="000051D4">
              <w:rPr>
                <w:rFonts w:ascii="Calibri" w:hAnsi="Calibri" w:cs="Calibri"/>
                <w:kern w:val="2"/>
                <w:sz w:val="22"/>
                <w:szCs w:val="22"/>
                <w:lang w:eastAsia="ru-RU"/>
                <w14:ligatures w14:val="standardContextual"/>
              </w:rPr>
              <w:t>and on-site interpreting</w:t>
            </w:r>
            <w:r w:rsidRPr="000051D4">
              <w:rPr>
                <w:rFonts w:ascii="Calibri" w:hAnsi="Calibri" w:cs="Calibri"/>
                <w:kern w:val="2"/>
                <w:sz w:val="22"/>
                <w:szCs w:val="22"/>
                <w:lang w:eastAsia="ru-RU"/>
                <w14:ligatures w14:val="standardContextual"/>
              </w:rPr>
              <w:t xml:space="preserve">). </w:t>
            </w:r>
          </w:p>
        </w:tc>
      </w:tr>
      <w:tr w:rsidR="00D6200B" w:rsidRPr="000051D4" w14:paraId="5BFC00D8" w14:textId="77777777" w:rsidTr="00602D5C">
        <w:tc>
          <w:tcPr>
            <w:tcW w:w="997" w:type="dxa"/>
          </w:tcPr>
          <w:p w14:paraId="1BAF819B" w14:textId="77777777" w:rsidR="00D6200B" w:rsidRPr="000051D4" w:rsidRDefault="00D6200B" w:rsidP="00602D5C">
            <w:pPr>
              <w:spacing w:line="276" w:lineRule="auto"/>
              <w:rPr>
                <w:rFonts w:ascii="Calibri" w:hAnsi="Calibri" w:cs="Calibri"/>
                <w:sz w:val="22"/>
                <w:szCs w:val="22"/>
                <w:lang w:eastAsia="ru-RU"/>
              </w:rPr>
            </w:pPr>
            <w:r w:rsidRPr="000051D4">
              <w:rPr>
                <w:rFonts w:ascii="Calibri" w:hAnsi="Calibri" w:cs="Calibri"/>
                <w:sz w:val="22"/>
                <w:szCs w:val="22"/>
                <w:lang w:eastAsia="ru-RU"/>
              </w:rPr>
              <w:t>15.</w:t>
            </w:r>
            <w:r>
              <w:rPr>
                <w:rFonts w:ascii="Calibri" w:hAnsi="Calibri" w:cs="Calibri"/>
                <w:sz w:val="22"/>
                <w:szCs w:val="22"/>
                <w:lang w:eastAsia="ru-RU"/>
              </w:rPr>
              <w:t>20</w:t>
            </w:r>
          </w:p>
        </w:tc>
        <w:tc>
          <w:tcPr>
            <w:tcW w:w="8631" w:type="dxa"/>
            <w:vAlign w:val="center"/>
          </w:tcPr>
          <w:p w14:paraId="370BD520" w14:textId="79DF3970" w:rsidR="00D6200B" w:rsidRPr="000051D4" w:rsidRDefault="00D6200B" w:rsidP="00602D5C">
            <w:pPr>
              <w:spacing w:line="276" w:lineRule="auto"/>
              <w:rPr>
                <w:rFonts w:ascii="Calibri" w:hAnsi="Calibri" w:cs="Calibri"/>
                <w:sz w:val="22"/>
                <w:szCs w:val="22"/>
              </w:rPr>
            </w:pPr>
            <w:r w:rsidRPr="000051D4">
              <w:rPr>
                <w:rFonts w:ascii="Calibri" w:hAnsi="Calibri" w:cs="Calibri"/>
                <w:sz w:val="22"/>
                <w:szCs w:val="22"/>
                <w:lang w:eastAsia="ru-RU"/>
              </w:rPr>
              <w:t xml:space="preserve">Simultaneous interpretation </w:t>
            </w:r>
            <w:r w:rsidR="00557F3E" w:rsidRPr="000051D4">
              <w:rPr>
                <w:rFonts w:ascii="Calibri" w:hAnsi="Calibri" w:cs="Calibri"/>
                <w:sz w:val="22"/>
                <w:szCs w:val="22"/>
                <w:lang w:eastAsia="ru-RU"/>
              </w:rPr>
              <w:t xml:space="preserve">lasting </w:t>
            </w:r>
            <w:r w:rsidRPr="000051D4">
              <w:rPr>
                <w:rFonts w:ascii="Calibri" w:hAnsi="Calibri" w:cs="Calibri"/>
                <w:sz w:val="22"/>
                <w:szCs w:val="22"/>
                <w:lang w:eastAsia="ru-RU"/>
              </w:rPr>
              <w:t xml:space="preserve">for more than 4 to 8 hours </w:t>
            </w:r>
            <w:r w:rsidRPr="000051D4">
              <w:rPr>
                <w:rFonts w:ascii="Calibri" w:hAnsi="Calibri" w:cs="Calibri"/>
                <w:kern w:val="2"/>
                <w:sz w:val="22"/>
                <w:szCs w:val="22"/>
                <w:lang w:eastAsia="ru-RU"/>
                <w14:ligatures w14:val="standardContextual"/>
              </w:rPr>
              <w:t>(applies to physical events</w:t>
            </w:r>
            <w:r w:rsidR="00557F3E">
              <w:rPr>
                <w:rFonts w:ascii="Calibri" w:hAnsi="Calibri" w:cs="Calibri"/>
                <w:kern w:val="2"/>
                <w:sz w:val="22"/>
                <w:szCs w:val="22"/>
                <w:lang w:eastAsia="ru-RU"/>
                <w14:ligatures w14:val="standardContextual"/>
              </w:rPr>
              <w:t xml:space="preserve"> </w:t>
            </w:r>
            <w:r w:rsidR="00557F3E" w:rsidRPr="000051D4">
              <w:rPr>
                <w:rFonts w:ascii="Calibri" w:hAnsi="Calibri" w:cs="Calibri"/>
                <w:kern w:val="2"/>
                <w:sz w:val="22"/>
                <w:szCs w:val="22"/>
                <w:lang w:eastAsia="ru-RU"/>
                <w14:ligatures w14:val="standardContextual"/>
              </w:rPr>
              <w:t>and on-site interpreting</w:t>
            </w:r>
            <w:r w:rsidR="00557F3E" w:rsidRPr="000051D4">
              <w:rPr>
                <w:rFonts w:ascii="Calibri" w:hAnsi="Calibri" w:cs="Calibri"/>
                <w:sz w:val="22"/>
                <w:szCs w:val="22"/>
                <w:lang w:eastAsia="ru-RU"/>
              </w:rPr>
              <w:t>)</w:t>
            </w:r>
            <w:r w:rsidRPr="000051D4">
              <w:rPr>
                <w:rFonts w:ascii="Calibri" w:hAnsi="Calibri" w:cs="Calibri"/>
                <w:kern w:val="2"/>
                <w:sz w:val="22"/>
                <w:szCs w:val="22"/>
                <w:lang w:eastAsia="ru-RU"/>
                <w14:ligatures w14:val="standardContextual"/>
              </w:rPr>
              <w:t xml:space="preserve">. </w:t>
            </w:r>
          </w:p>
        </w:tc>
      </w:tr>
    </w:tbl>
    <w:p w14:paraId="6DB93E99" w14:textId="77777777" w:rsidR="00D6200B" w:rsidRPr="000051D4" w:rsidRDefault="00D6200B" w:rsidP="00D6200B">
      <w:pPr>
        <w:spacing w:line="276" w:lineRule="auto"/>
        <w:ind w:left="360"/>
        <w:contextualSpacing/>
        <w:rPr>
          <w:rFonts w:ascii="Calibri" w:hAnsi="Calibri" w:cs="Calibri"/>
          <w:sz w:val="22"/>
          <w:szCs w:val="22"/>
        </w:rPr>
      </w:pPr>
    </w:p>
    <w:p w14:paraId="76A37581" w14:textId="77777777" w:rsidR="00D6200B" w:rsidRPr="000051D4" w:rsidRDefault="00D6200B" w:rsidP="00D6200B">
      <w:pPr>
        <w:pStyle w:val="ListParagraph"/>
        <w:numPr>
          <w:ilvl w:val="0"/>
          <w:numId w:val="13"/>
        </w:numPr>
        <w:spacing w:line="276" w:lineRule="auto"/>
        <w:jc w:val="both"/>
        <w:rPr>
          <w:rFonts w:ascii="Calibri" w:hAnsi="Calibri" w:cs="Calibri"/>
          <w:sz w:val="22"/>
          <w:szCs w:val="22"/>
        </w:rPr>
      </w:pPr>
      <w:r w:rsidRPr="000051D4">
        <w:rPr>
          <w:rFonts w:ascii="Calibri" w:hAnsi="Calibri" w:cs="Calibri"/>
          <w:sz w:val="22"/>
          <w:szCs w:val="22"/>
          <w:lang w:eastAsia="ru-RU"/>
        </w:rPr>
        <w:lastRenderedPageBreak/>
        <w:t xml:space="preserve">If the agreed time for the provision of consecutive interpretation services is exceeded, the interpreter shall continue to provide interpretation services for an additional hourly fee, which may not exceed twice the rate specified in point 15.1 for the services specified in the supplier's tender </w:t>
      </w:r>
      <w:r w:rsidRPr="000051D4" w:rsidDel="00FA5C18">
        <w:rPr>
          <w:rFonts w:ascii="Calibri" w:hAnsi="Calibri" w:cs="Calibri"/>
          <w:sz w:val="22"/>
          <w:szCs w:val="22"/>
          <w:lang w:eastAsia="ru-RU"/>
        </w:rPr>
        <w:t>(</w:t>
      </w:r>
      <w:r w:rsidRPr="000051D4">
        <w:rPr>
          <w:rFonts w:ascii="Calibri" w:hAnsi="Calibri" w:cs="Calibri"/>
          <w:sz w:val="22"/>
          <w:szCs w:val="22"/>
          <w:lang w:eastAsia="ru-RU"/>
        </w:rPr>
        <w:t>for 1 interpreter).</w:t>
      </w:r>
    </w:p>
    <w:p w14:paraId="77DFD4DD" w14:textId="77777777" w:rsidR="00D6200B" w:rsidRPr="000051D4" w:rsidRDefault="00D6200B" w:rsidP="00D6200B">
      <w:pPr>
        <w:pStyle w:val="ListParagraph"/>
        <w:numPr>
          <w:ilvl w:val="0"/>
          <w:numId w:val="13"/>
        </w:numPr>
        <w:spacing w:line="276" w:lineRule="auto"/>
        <w:jc w:val="both"/>
        <w:rPr>
          <w:rFonts w:ascii="Calibri" w:hAnsi="Calibri" w:cs="Calibri"/>
          <w:sz w:val="22"/>
          <w:szCs w:val="22"/>
        </w:rPr>
      </w:pPr>
      <w:r w:rsidRPr="000051D4">
        <w:rPr>
          <w:rFonts w:ascii="Calibri" w:hAnsi="Calibri" w:cs="Calibri"/>
          <w:sz w:val="22"/>
          <w:szCs w:val="22"/>
          <w:lang w:eastAsia="ru-RU"/>
        </w:rPr>
        <w:t xml:space="preserve">If the agreed time for the provision of simultaneous </w:t>
      </w:r>
      <w:r>
        <w:rPr>
          <w:rFonts w:ascii="Calibri" w:hAnsi="Calibri" w:cs="Calibri"/>
          <w:sz w:val="22"/>
          <w:szCs w:val="22"/>
          <w:lang w:eastAsia="ru-RU"/>
        </w:rPr>
        <w:t>interpretation</w:t>
      </w:r>
      <w:r w:rsidRPr="000051D4">
        <w:rPr>
          <w:rFonts w:ascii="Calibri" w:hAnsi="Calibri" w:cs="Calibri"/>
          <w:sz w:val="22"/>
          <w:szCs w:val="22"/>
          <w:lang w:eastAsia="ru-RU"/>
        </w:rPr>
        <w:t xml:space="preserve"> services is exceeded, the </w:t>
      </w:r>
      <w:r>
        <w:rPr>
          <w:rFonts w:ascii="Calibri" w:hAnsi="Calibri" w:cs="Calibri"/>
          <w:sz w:val="22"/>
          <w:szCs w:val="22"/>
          <w:lang w:eastAsia="ru-RU"/>
        </w:rPr>
        <w:t>interpreter</w:t>
      </w:r>
      <w:r w:rsidRPr="000051D4">
        <w:rPr>
          <w:rFonts w:ascii="Calibri" w:hAnsi="Calibri" w:cs="Calibri"/>
          <w:sz w:val="22"/>
          <w:szCs w:val="22"/>
          <w:lang w:eastAsia="ru-RU"/>
        </w:rPr>
        <w:t xml:space="preserve"> shall continue to provide </w:t>
      </w:r>
      <w:r>
        <w:rPr>
          <w:rFonts w:ascii="Calibri" w:hAnsi="Calibri" w:cs="Calibri"/>
          <w:sz w:val="22"/>
          <w:szCs w:val="22"/>
          <w:lang w:eastAsia="ru-RU"/>
        </w:rPr>
        <w:t>interpretation</w:t>
      </w:r>
      <w:r w:rsidRPr="000051D4">
        <w:rPr>
          <w:rFonts w:ascii="Calibri" w:hAnsi="Calibri" w:cs="Calibri"/>
          <w:sz w:val="22"/>
          <w:szCs w:val="22"/>
          <w:lang w:eastAsia="ru-RU"/>
        </w:rPr>
        <w:t xml:space="preserve"> services for an additional hourly fee, which may not exceed twice the rate specified in the supplier's offer for the services specified in point 15.11 (</w:t>
      </w:r>
      <w:r w:rsidRPr="000051D4" w:rsidDel="00FA5C18">
        <w:rPr>
          <w:rFonts w:ascii="Calibri" w:hAnsi="Calibri" w:cs="Calibri"/>
          <w:sz w:val="22"/>
          <w:szCs w:val="22"/>
          <w:lang w:eastAsia="ru-RU"/>
        </w:rPr>
        <w:t xml:space="preserve">for 2 </w:t>
      </w:r>
      <w:r>
        <w:rPr>
          <w:rFonts w:ascii="Calibri" w:hAnsi="Calibri" w:cs="Calibri"/>
          <w:sz w:val="22"/>
          <w:szCs w:val="22"/>
          <w:lang w:eastAsia="ru-RU"/>
        </w:rPr>
        <w:t>interpreters</w:t>
      </w:r>
      <w:r w:rsidRPr="000051D4">
        <w:rPr>
          <w:rFonts w:ascii="Calibri" w:hAnsi="Calibri" w:cs="Calibri"/>
          <w:sz w:val="22"/>
          <w:szCs w:val="22"/>
          <w:lang w:eastAsia="ru-RU"/>
        </w:rPr>
        <w:t xml:space="preserve">). </w:t>
      </w:r>
    </w:p>
    <w:p w14:paraId="60F61DFD" w14:textId="77777777" w:rsidR="00D6200B" w:rsidRPr="000051D4" w:rsidRDefault="00D6200B" w:rsidP="00D6200B">
      <w:pPr>
        <w:pStyle w:val="ListParagraph"/>
        <w:numPr>
          <w:ilvl w:val="0"/>
          <w:numId w:val="13"/>
        </w:numPr>
        <w:spacing w:line="276" w:lineRule="auto"/>
        <w:jc w:val="both"/>
        <w:rPr>
          <w:rFonts w:ascii="Calibri" w:hAnsi="Calibri" w:cs="Calibri"/>
          <w:sz w:val="22"/>
          <w:szCs w:val="22"/>
        </w:rPr>
      </w:pPr>
      <w:r w:rsidRPr="000051D4">
        <w:rPr>
          <w:rFonts w:ascii="Calibri" w:hAnsi="Calibri" w:cs="Calibri"/>
          <w:sz w:val="22"/>
          <w:szCs w:val="22"/>
        </w:rPr>
        <w:t xml:space="preserve">Upon the customer's request for </w:t>
      </w:r>
      <w:r>
        <w:rPr>
          <w:rFonts w:ascii="Calibri" w:hAnsi="Calibri" w:cs="Calibri"/>
          <w:sz w:val="22"/>
          <w:szCs w:val="22"/>
        </w:rPr>
        <w:t>interpretation</w:t>
      </w:r>
      <w:r w:rsidRPr="000051D4">
        <w:rPr>
          <w:rFonts w:ascii="Calibri" w:hAnsi="Calibri" w:cs="Calibri"/>
          <w:sz w:val="22"/>
          <w:szCs w:val="22"/>
        </w:rPr>
        <w:t xml:space="preserve"> services</w:t>
      </w:r>
      <w:r w:rsidRPr="000051D4">
        <w:rPr>
          <w:rFonts w:ascii="Calibri" w:hAnsi="Calibri" w:cs="Calibri"/>
          <w:color w:val="000000"/>
          <w:sz w:val="22"/>
          <w:szCs w:val="22"/>
        </w:rPr>
        <w:t>,</w:t>
      </w:r>
      <w:r w:rsidRPr="000051D4">
        <w:rPr>
          <w:rFonts w:ascii="Calibri" w:hAnsi="Calibri" w:cs="Calibri"/>
          <w:sz w:val="22"/>
          <w:szCs w:val="22"/>
        </w:rPr>
        <w:t xml:space="preserve"> the supplier shall </w:t>
      </w:r>
      <w:r w:rsidRPr="000051D4">
        <w:rPr>
          <w:rFonts w:ascii="Calibri" w:hAnsi="Calibri" w:cs="Calibri"/>
          <w:color w:val="000000"/>
          <w:sz w:val="22"/>
          <w:szCs w:val="22"/>
        </w:rPr>
        <w:t xml:space="preserve">provide </w:t>
      </w:r>
      <w:r w:rsidRPr="000051D4">
        <w:rPr>
          <w:rFonts w:ascii="Calibri" w:hAnsi="Calibri" w:cs="Calibri"/>
          <w:sz w:val="22"/>
          <w:szCs w:val="22"/>
        </w:rPr>
        <w:t xml:space="preserve">high-quality </w:t>
      </w:r>
      <w:r w:rsidRPr="000051D4">
        <w:rPr>
          <w:rFonts w:ascii="Calibri" w:hAnsi="Calibri" w:cs="Calibri"/>
          <w:color w:val="000000"/>
          <w:sz w:val="22"/>
          <w:szCs w:val="22"/>
        </w:rPr>
        <w:t xml:space="preserve">services, i.e., </w:t>
      </w:r>
      <w:r w:rsidRPr="000051D4">
        <w:rPr>
          <w:rFonts w:ascii="Calibri" w:hAnsi="Calibri" w:cs="Calibri"/>
          <w:sz w:val="22"/>
          <w:szCs w:val="22"/>
        </w:rPr>
        <w:t xml:space="preserve">the </w:t>
      </w:r>
      <w:r>
        <w:rPr>
          <w:rFonts w:ascii="Calibri" w:hAnsi="Calibri" w:cs="Calibri"/>
          <w:sz w:val="22"/>
          <w:szCs w:val="22"/>
        </w:rPr>
        <w:t>interpretation</w:t>
      </w:r>
      <w:r w:rsidRPr="000051D4">
        <w:rPr>
          <w:rFonts w:ascii="Calibri" w:hAnsi="Calibri" w:cs="Calibri"/>
          <w:color w:val="000000"/>
          <w:sz w:val="22"/>
          <w:szCs w:val="22"/>
        </w:rPr>
        <w:t xml:space="preserve"> shall be delivered on time, in accordance with the customer's requirements, </w:t>
      </w:r>
      <w:r w:rsidRPr="000051D4">
        <w:rPr>
          <w:rFonts w:ascii="Calibri" w:hAnsi="Calibri" w:cs="Calibri"/>
          <w:sz w:val="22"/>
          <w:szCs w:val="22"/>
        </w:rPr>
        <w:t xml:space="preserve">technically and grammatically correct, and the content shall correspond to the original. The language used must be clear, unambiguous, and of appropriate diction, and the terms used must correspond to those commonly used in the field/subject area being </w:t>
      </w:r>
      <w:r>
        <w:rPr>
          <w:rFonts w:ascii="Calibri" w:hAnsi="Calibri" w:cs="Calibri"/>
          <w:sz w:val="22"/>
          <w:szCs w:val="22"/>
        </w:rPr>
        <w:t>interpreted</w:t>
      </w:r>
      <w:r w:rsidRPr="000051D4">
        <w:rPr>
          <w:rFonts w:ascii="Calibri" w:hAnsi="Calibri" w:cs="Calibri"/>
          <w:sz w:val="22"/>
          <w:szCs w:val="22"/>
        </w:rPr>
        <w:t xml:space="preserve">. </w:t>
      </w:r>
    </w:p>
    <w:p w14:paraId="5CE96EEA" w14:textId="77777777" w:rsidR="00D6200B" w:rsidRPr="000051D4" w:rsidRDefault="00D6200B" w:rsidP="00D6200B">
      <w:pPr>
        <w:pStyle w:val="ListParagraph"/>
        <w:numPr>
          <w:ilvl w:val="0"/>
          <w:numId w:val="13"/>
        </w:numPr>
        <w:spacing w:line="276" w:lineRule="auto"/>
        <w:jc w:val="both"/>
        <w:rPr>
          <w:rFonts w:ascii="Calibri" w:hAnsi="Calibri" w:cs="Calibri"/>
          <w:sz w:val="22"/>
          <w:szCs w:val="22"/>
        </w:rPr>
      </w:pPr>
      <w:r w:rsidRPr="000051D4">
        <w:rPr>
          <w:rFonts w:ascii="Calibri" w:hAnsi="Calibri" w:cs="Calibri"/>
          <w:sz w:val="22"/>
          <w:szCs w:val="22"/>
        </w:rPr>
        <w:t xml:space="preserve">the supplier must ensure the confidentiality of </w:t>
      </w:r>
      <w:r>
        <w:rPr>
          <w:rFonts w:ascii="Calibri" w:hAnsi="Calibri" w:cs="Calibri"/>
          <w:sz w:val="22"/>
          <w:szCs w:val="22"/>
        </w:rPr>
        <w:t>interpretations</w:t>
      </w:r>
      <w:r w:rsidRPr="000051D4">
        <w:rPr>
          <w:rFonts w:ascii="Calibri" w:hAnsi="Calibri" w:cs="Calibri"/>
          <w:sz w:val="22"/>
          <w:szCs w:val="22"/>
        </w:rPr>
        <w:t xml:space="preserve">, i.e. undertakes not to disclose to third parties any information related to the services provided or the activities of the contracting authority, unless the event at which the </w:t>
      </w:r>
      <w:r>
        <w:rPr>
          <w:rFonts w:ascii="Calibri" w:hAnsi="Calibri" w:cs="Calibri"/>
          <w:sz w:val="22"/>
          <w:szCs w:val="22"/>
        </w:rPr>
        <w:t>interpretation</w:t>
      </w:r>
      <w:r w:rsidRPr="000051D4">
        <w:rPr>
          <w:rFonts w:ascii="Calibri" w:hAnsi="Calibri" w:cs="Calibri"/>
          <w:sz w:val="22"/>
          <w:szCs w:val="22"/>
        </w:rPr>
        <w:t xml:space="preserve"> is performed is public. </w:t>
      </w:r>
    </w:p>
    <w:p w14:paraId="0250F874" w14:textId="77777777" w:rsidR="00D6200B" w:rsidRPr="000051D4" w:rsidRDefault="00D6200B" w:rsidP="00D6200B">
      <w:pPr>
        <w:pStyle w:val="ListParagraph"/>
        <w:numPr>
          <w:ilvl w:val="0"/>
          <w:numId w:val="13"/>
        </w:numPr>
        <w:spacing w:line="276" w:lineRule="auto"/>
        <w:rPr>
          <w:rFonts w:ascii="Calibri" w:hAnsi="Calibri" w:cs="Calibri"/>
          <w:sz w:val="22"/>
          <w:szCs w:val="22"/>
          <w:lang w:eastAsia="ru-RU"/>
        </w:rPr>
      </w:pPr>
      <w:r w:rsidRPr="000051D4">
        <w:rPr>
          <w:rFonts w:ascii="Calibri" w:hAnsi="Calibri" w:cs="Calibri"/>
          <w:b/>
          <w:bCs/>
          <w:sz w:val="22"/>
          <w:szCs w:val="22"/>
        </w:rPr>
        <w:t>Additional services:</w:t>
      </w:r>
    </w:p>
    <w:tbl>
      <w:tblPr>
        <w:tblStyle w:val="TableGrid"/>
        <w:tblW w:w="5000" w:type="pct"/>
        <w:tblLook w:val="04A0" w:firstRow="1" w:lastRow="0" w:firstColumn="1" w:lastColumn="0" w:noHBand="0" w:noVBand="1"/>
      </w:tblPr>
      <w:tblGrid>
        <w:gridCol w:w="662"/>
        <w:gridCol w:w="8966"/>
      </w:tblGrid>
      <w:tr w:rsidR="00D6200B" w:rsidRPr="000051D4" w14:paraId="1F2CEECA" w14:textId="77777777" w:rsidTr="00602D5C">
        <w:trPr>
          <w:trHeight w:val="335"/>
        </w:trPr>
        <w:tc>
          <w:tcPr>
            <w:tcW w:w="292" w:type="pct"/>
          </w:tcPr>
          <w:p w14:paraId="77582DC3" w14:textId="77777777" w:rsidR="00D6200B" w:rsidRPr="000051D4" w:rsidRDefault="00D6200B" w:rsidP="00602D5C">
            <w:pPr>
              <w:spacing w:line="276" w:lineRule="auto"/>
              <w:jc w:val="center"/>
              <w:rPr>
                <w:rFonts w:ascii="Calibri" w:hAnsi="Calibri" w:cs="Calibri"/>
                <w:b/>
                <w:bCs/>
                <w:sz w:val="22"/>
                <w:szCs w:val="22"/>
              </w:rPr>
            </w:pPr>
            <w:r w:rsidRPr="000051D4">
              <w:rPr>
                <w:rFonts w:ascii="Calibri" w:hAnsi="Calibri" w:cs="Calibri"/>
                <w:b/>
                <w:bCs/>
                <w:sz w:val="22"/>
                <w:szCs w:val="22"/>
              </w:rPr>
              <w:t>No</w:t>
            </w:r>
          </w:p>
        </w:tc>
        <w:tc>
          <w:tcPr>
            <w:tcW w:w="4708" w:type="pct"/>
          </w:tcPr>
          <w:p w14:paraId="0CE097D1" w14:textId="77777777" w:rsidR="00D6200B" w:rsidRPr="000051D4" w:rsidRDefault="00D6200B" w:rsidP="00602D5C">
            <w:pPr>
              <w:spacing w:line="276" w:lineRule="auto"/>
              <w:jc w:val="center"/>
              <w:rPr>
                <w:rFonts w:ascii="Calibri" w:hAnsi="Calibri" w:cs="Calibri"/>
                <w:b/>
                <w:bCs/>
                <w:sz w:val="22"/>
                <w:szCs w:val="22"/>
              </w:rPr>
            </w:pPr>
            <w:r w:rsidRPr="000051D4">
              <w:rPr>
                <w:rFonts w:ascii="Calibri" w:hAnsi="Calibri" w:cs="Calibri"/>
                <w:b/>
                <w:bCs/>
                <w:sz w:val="22"/>
                <w:szCs w:val="22"/>
              </w:rPr>
              <w:t>Services</w:t>
            </w:r>
          </w:p>
        </w:tc>
      </w:tr>
      <w:tr w:rsidR="00D6200B" w:rsidRPr="000051D4" w14:paraId="437F3C8B" w14:textId="77777777" w:rsidTr="00602D5C">
        <w:trPr>
          <w:trHeight w:val="641"/>
        </w:trPr>
        <w:tc>
          <w:tcPr>
            <w:tcW w:w="292" w:type="pct"/>
          </w:tcPr>
          <w:p w14:paraId="19D18843" w14:textId="77777777" w:rsidR="00D6200B" w:rsidRPr="000051D4" w:rsidRDefault="00D6200B" w:rsidP="00602D5C">
            <w:pPr>
              <w:spacing w:line="276" w:lineRule="auto"/>
              <w:rPr>
                <w:rFonts w:ascii="Calibri" w:hAnsi="Calibri" w:cs="Calibri"/>
                <w:sz w:val="22"/>
                <w:szCs w:val="22"/>
              </w:rPr>
            </w:pPr>
            <w:r w:rsidRPr="000051D4">
              <w:rPr>
                <w:rFonts w:ascii="Calibri" w:hAnsi="Calibri" w:cs="Calibri"/>
                <w:sz w:val="22"/>
                <w:szCs w:val="22"/>
              </w:rPr>
              <w:t>15.</w:t>
            </w:r>
            <w:r>
              <w:rPr>
                <w:rFonts w:ascii="Calibri" w:hAnsi="Calibri" w:cs="Calibri"/>
                <w:sz w:val="22"/>
                <w:szCs w:val="22"/>
              </w:rPr>
              <w:t>1</w:t>
            </w:r>
          </w:p>
        </w:tc>
        <w:tc>
          <w:tcPr>
            <w:tcW w:w="4708" w:type="pct"/>
          </w:tcPr>
          <w:p w14:paraId="166533C1" w14:textId="77777777" w:rsidR="00D6200B" w:rsidRPr="000051D4" w:rsidRDefault="00D6200B" w:rsidP="00602D5C">
            <w:pPr>
              <w:spacing w:line="276" w:lineRule="auto"/>
              <w:rPr>
                <w:rFonts w:ascii="Calibri" w:hAnsi="Calibri" w:cs="Calibri"/>
                <w:sz w:val="22"/>
                <w:szCs w:val="22"/>
              </w:rPr>
            </w:pPr>
            <w:r w:rsidRPr="000051D4">
              <w:rPr>
                <w:rFonts w:ascii="Calibri" w:hAnsi="Calibri" w:cs="Calibri"/>
                <w:sz w:val="22"/>
                <w:szCs w:val="22"/>
              </w:rPr>
              <w:t>Simultaneous interpretation equipment for up to 50 people (all equipment necessary to ensure high-quality simultaneous interpretation, including delivery in Kiev)</w:t>
            </w:r>
          </w:p>
        </w:tc>
      </w:tr>
      <w:tr w:rsidR="00D6200B" w:rsidRPr="000051D4" w14:paraId="269BBFF7" w14:textId="77777777" w:rsidTr="00602D5C">
        <w:tc>
          <w:tcPr>
            <w:tcW w:w="292" w:type="pct"/>
          </w:tcPr>
          <w:p w14:paraId="03427AA4" w14:textId="77777777" w:rsidR="00D6200B" w:rsidRPr="000051D4" w:rsidRDefault="00D6200B" w:rsidP="00602D5C">
            <w:pPr>
              <w:spacing w:line="276" w:lineRule="auto"/>
              <w:rPr>
                <w:rFonts w:ascii="Calibri" w:hAnsi="Calibri" w:cs="Calibri"/>
                <w:sz w:val="22"/>
                <w:szCs w:val="22"/>
              </w:rPr>
            </w:pPr>
            <w:r w:rsidRPr="000051D4">
              <w:rPr>
                <w:rFonts w:ascii="Calibri" w:hAnsi="Calibri" w:cs="Calibri"/>
                <w:sz w:val="22"/>
                <w:szCs w:val="22"/>
              </w:rPr>
              <w:t>15.</w:t>
            </w:r>
            <w:r>
              <w:rPr>
                <w:rFonts w:ascii="Calibri" w:hAnsi="Calibri" w:cs="Calibri"/>
                <w:sz w:val="22"/>
                <w:szCs w:val="22"/>
              </w:rPr>
              <w:t>2</w:t>
            </w:r>
          </w:p>
        </w:tc>
        <w:tc>
          <w:tcPr>
            <w:tcW w:w="4708" w:type="pct"/>
          </w:tcPr>
          <w:p w14:paraId="28678666" w14:textId="77777777" w:rsidR="00D6200B" w:rsidRPr="000051D4" w:rsidRDefault="00D6200B" w:rsidP="00602D5C">
            <w:pPr>
              <w:spacing w:line="276" w:lineRule="auto"/>
              <w:rPr>
                <w:rFonts w:ascii="Calibri" w:hAnsi="Calibri" w:cs="Calibri"/>
                <w:sz w:val="22"/>
                <w:szCs w:val="22"/>
              </w:rPr>
            </w:pPr>
            <w:r w:rsidRPr="000051D4">
              <w:rPr>
                <w:rFonts w:ascii="Calibri" w:hAnsi="Calibri" w:cs="Calibri"/>
                <w:sz w:val="22"/>
                <w:szCs w:val="22"/>
              </w:rPr>
              <w:t>Simultaneous interpretation equipment for 51-100 people (all equipment necessary to ensure high-quality simultaneous interpretation, including delivery in Kiev)</w:t>
            </w:r>
          </w:p>
        </w:tc>
      </w:tr>
      <w:tr w:rsidR="00D6200B" w:rsidRPr="000051D4" w14:paraId="103C66AF" w14:textId="77777777" w:rsidTr="00602D5C">
        <w:tc>
          <w:tcPr>
            <w:tcW w:w="292" w:type="pct"/>
          </w:tcPr>
          <w:p w14:paraId="40202718" w14:textId="77777777" w:rsidR="00D6200B" w:rsidRPr="000051D4" w:rsidRDefault="00D6200B" w:rsidP="00602D5C">
            <w:pPr>
              <w:spacing w:line="276" w:lineRule="auto"/>
              <w:rPr>
                <w:rFonts w:ascii="Calibri" w:hAnsi="Calibri" w:cs="Calibri"/>
                <w:sz w:val="22"/>
                <w:szCs w:val="22"/>
              </w:rPr>
            </w:pPr>
            <w:r w:rsidRPr="000051D4">
              <w:rPr>
                <w:rFonts w:ascii="Calibri" w:hAnsi="Calibri" w:cs="Calibri"/>
                <w:sz w:val="22"/>
                <w:szCs w:val="22"/>
              </w:rPr>
              <w:t>15.3</w:t>
            </w:r>
          </w:p>
        </w:tc>
        <w:tc>
          <w:tcPr>
            <w:tcW w:w="4708" w:type="pct"/>
          </w:tcPr>
          <w:p w14:paraId="2C889EAF" w14:textId="77777777" w:rsidR="00D6200B" w:rsidRPr="000051D4" w:rsidRDefault="00D6200B" w:rsidP="00602D5C">
            <w:pPr>
              <w:spacing w:line="276" w:lineRule="auto"/>
              <w:rPr>
                <w:rFonts w:ascii="Calibri" w:hAnsi="Calibri" w:cs="Calibri"/>
                <w:sz w:val="22"/>
                <w:szCs w:val="22"/>
              </w:rPr>
            </w:pPr>
            <w:r w:rsidRPr="000051D4">
              <w:rPr>
                <w:rFonts w:ascii="Calibri" w:hAnsi="Calibri" w:cs="Calibri"/>
                <w:sz w:val="22"/>
                <w:szCs w:val="22"/>
              </w:rPr>
              <w:t>Simultaneous interpretation equipment for up to 50 people (applicable to hybrid events with presentation in Kiev)</w:t>
            </w:r>
          </w:p>
        </w:tc>
      </w:tr>
      <w:tr w:rsidR="00D6200B" w:rsidRPr="000051D4" w14:paraId="380E180E" w14:textId="77777777" w:rsidTr="00602D5C">
        <w:tc>
          <w:tcPr>
            <w:tcW w:w="292" w:type="pct"/>
          </w:tcPr>
          <w:p w14:paraId="783C0982" w14:textId="77777777" w:rsidR="00D6200B" w:rsidRPr="000051D4" w:rsidRDefault="00D6200B" w:rsidP="00602D5C">
            <w:pPr>
              <w:spacing w:line="276" w:lineRule="auto"/>
              <w:rPr>
                <w:rFonts w:ascii="Calibri" w:hAnsi="Calibri" w:cs="Calibri"/>
                <w:sz w:val="22"/>
                <w:szCs w:val="22"/>
              </w:rPr>
            </w:pPr>
            <w:r w:rsidRPr="000051D4">
              <w:rPr>
                <w:rFonts w:ascii="Calibri" w:hAnsi="Calibri" w:cs="Calibri"/>
                <w:sz w:val="22"/>
                <w:szCs w:val="22"/>
              </w:rPr>
              <w:t xml:space="preserve">15.4. </w:t>
            </w:r>
          </w:p>
        </w:tc>
        <w:tc>
          <w:tcPr>
            <w:tcW w:w="4708" w:type="pct"/>
          </w:tcPr>
          <w:p w14:paraId="3245BA70" w14:textId="77777777" w:rsidR="00D6200B" w:rsidRPr="000051D4" w:rsidRDefault="00D6200B" w:rsidP="00602D5C">
            <w:pPr>
              <w:spacing w:line="276" w:lineRule="auto"/>
              <w:rPr>
                <w:rFonts w:ascii="Calibri" w:hAnsi="Calibri" w:cs="Calibri"/>
                <w:i/>
                <w:iCs/>
                <w:sz w:val="22"/>
                <w:szCs w:val="22"/>
              </w:rPr>
            </w:pPr>
            <w:r w:rsidRPr="000051D4">
              <w:rPr>
                <w:rFonts w:ascii="Calibri" w:hAnsi="Calibri" w:cs="Calibri"/>
                <w:sz w:val="22"/>
                <w:szCs w:val="22"/>
              </w:rPr>
              <w:t>Simultaneous interpretation equipment for 51-100 people (applicable to hybrid events with presentation in Kyiv)</w:t>
            </w:r>
          </w:p>
        </w:tc>
      </w:tr>
    </w:tbl>
    <w:p w14:paraId="0FBDA1DD" w14:textId="77777777" w:rsidR="00D6200B" w:rsidRPr="000051D4" w:rsidRDefault="00D6200B" w:rsidP="00D6200B">
      <w:pPr>
        <w:spacing w:line="276" w:lineRule="auto"/>
        <w:jc w:val="both"/>
        <w:rPr>
          <w:rFonts w:ascii="Calibri" w:hAnsi="Calibri" w:cs="Calibri"/>
          <w:sz w:val="22"/>
          <w:szCs w:val="22"/>
        </w:rPr>
      </w:pPr>
    </w:p>
    <w:p w14:paraId="78F7476A" w14:textId="77777777" w:rsidR="00D6200B" w:rsidRPr="000051D4" w:rsidRDefault="00D6200B" w:rsidP="00D6200B">
      <w:pPr>
        <w:spacing w:line="276" w:lineRule="auto"/>
        <w:jc w:val="both"/>
        <w:rPr>
          <w:rFonts w:ascii="Calibri" w:hAnsi="Calibri" w:cs="Calibri"/>
          <w:sz w:val="22"/>
          <w:szCs w:val="22"/>
        </w:rPr>
      </w:pPr>
    </w:p>
    <w:p w14:paraId="417BAD30" w14:textId="77777777" w:rsidR="00D6200B" w:rsidRPr="000051D4" w:rsidRDefault="00D6200B" w:rsidP="00D6200B">
      <w:pPr>
        <w:spacing w:line="276" w:lineRule="auto"/>
        <w:jc w:val="both"/>
        <w:rPr>
          <w:rFonts w:ascii="Calibri" w:hAnsi="Calibri" w:cs="Calibri"/>
          <w:sz w:val="22"/>
          <w:szCs w:val="22"/>
        </w:rPr>
      </w:pPr>
    </w:p>
    <w:p w14:paraId="40AFD1B2" w14:textId="77777777" w:rsidR="00D6200B" w:rsidRPr="000051D4" w:rsidRDefault="00D6200B" w:rsidP="00D6200B">
      <w:pPr>
        <w:spacing w:line="276" w:lineRule="auto"/>
        <w:jc w:val="both"/>
        <w:rPr>
          <w:rFonts w:ascii="Calibri" w:hAnsi="Calibri" w:cs="Calibri"/>
          <w:sz w:val="22"/>
          <w:szCs w:val="22"/>
        </w:rPr>
      </w:pPr>
    </w:p>
    <w:p w14:paraId="340C698A" w14:textId="77777777" w:rsidR="00D6200B" w:rsidRPr="000051D4" w:rsidRDefault="00D6200B" w:rsidP="00D6200B">
      <w:pPr>
        <w:spacing w:line="276" w:lineRule="auto"/>
        <w:jc w:val="both"/>
        <w:rPr>
          <w:rFonts w:ascii="Calibri" w:hAnsi="Calibri" w:cs="Calibri"/>
          <w:sz w:val="22"/>
          <w:szCs w:val="22"/>
        </w:rPr>
      </w:pPr>
    </w:p>
    <w:p w14:paraId="5B399EBC" w14:textId="77777777" w:rsidR="00D6200B" w:rsidRPr="000051D4" w:rsidRDefault="00D6200B" w:rsidP="00D6200B">
      <w:pPr>
        <w:spacing w:line="276" w:lineRule="auto"/>
        <w:jc w:val="both"/>
        <w:rPr>
          <w:rFonts w:ascii="Calibri" w:hAnsi="Calibri" w:cs="Calibri"/>
          <w:sz w:val="22"/>
          <w:szCs w:val="22"/>
        </w:rPr>
      </w:pPr>
    </w:p>
    <w:p w14:paraId="4C8B76B3" w14:textId="77777777" w:rsidR="00D6200B" w:rsidRPr="000051D4" w:rsidRDefault="00D6200B" w:rsidP="00D6200B">
      <w:pPr>
        <w:spacing w:line="276" w:lineRule="auto"/>
        <w:jc w:val="both"/>
        <w:rPr>
          <w:rFonts w:ascii="Calibri" w:hAnsi="Calibri" w:cs="Calibri"/>
          <w:sz w:val="22"/>
          <w:szCs w:val="22"/>
        </w:rPr>
      </w:pPr>
    </w:p>
    <w:p w14:paraId="1D559A27" w14:textId="77777777" w:rsidR="00D6200B" w:rsidRPr="000051D4" w:rsidRDefault="00D6200B" w:rsidP="00D6200B">
      <w:pPr>
        <w:spacing w:line="276" w:lineRule="auto"/>
        <w:jc w:val="both"/>
        <w:rPr>
          <w:rFonts w:ascii="Calibri" w:hAnsi="Calibri" w:cs="Calibri"/>
          <w:sz w:val="22"/>
          <w:szCs w:val="22"/>
        </w:rPr>
      </w:pPr>
    </w:p>
    <w:p w14:paraId="78079DEF" w14:textId="77777777" w:rsidR="00D6200B" w:rsidRPr="000051D4" w:rsidRDefault="00D6200B" w:rsidP="00D6200B">
      <w:pPr>
        <w:spacing w:line="276" w:lineRule="auto"/>
        <w:jc w:val="both"/>
        <w:rPr>
          <w:rFonts w:ascii="Calibri" w:hAnsi="Calibri" w:cs="Calibri"/>
          <w:sz w:val="22"/>
          <w:szCs w:val="22"/>
        </w:rPr>
      </w:pPr>
    </w:p>
    <w:p w14:paraId="12511BC3" w14:textId="77777777" w:rsidR="00D40A0F" w:rsidRPr="00D6200B" w:rsidRDefault="00D40A0F" w:rsidP="00800549">
      <w:pPr>
        <w:spacing w:line="276" w:lineRule="auto"/>
        <w:jc w:val="both"/>
        <w:rPr>
          <w:rFonts w:ascii="Calibri" w:hAnsi="Calibri" w:cs="Calibri"/>
          <w:sz w:val="22"/>
          <w:szCs w:val="22"/>
        </w:rPr>
      </w:pPr>
    </w:p>
    <w:sectPr w:rsidR="00D40A0F" w:rsidRPr="00D6200B" w:rsidSect="00CE0851">
      <w:footerReference w:type="default" r:id="rId13"/>
      <w:pgSz w:w="11906" w:h="16838"/>
      <w:pgMar w:top="1276"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BE948" w14:textId="77777777" w:rsidR="00AA085E" w:rsidRDefault="00AA085E">
      <w:r>
        <w:separator/>
      </w:r>
    </w:p>
  </w:endnote>
  <w:endnote w:type="continuationSeparator" w:id="0">
    <w:p w14:paraId="11D4F31A" w14:textId="77777777" w:rsidR="00AA085E" w:rsidRDefault="00AA085E">
      <w:r>
        <w:continuationSeparator/>
      </w:r>
    </w:p>
  </w:endnote>
  <w:endnote w:type="continuationNotice" w:id="1">
    <w:p w14:paraId="6AB79A09" w14:textId="77777777" w:rsidR="00AA085E" w:rsidRDefault="00AA08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BE252" w14:textId="77777777" w:rsidR="00B5538A" w:rsidRDefault="00B5538A">
    <w:pPr>
      <w:pStyle w:val="Footer"/>
      <w:jc w:val="center"/>
      <w:rPr>
        <w:lang w:val="ru-RU"/>
      </w:rPr>
    </w:pPr>
    <w:r w:rsidRPr="00F40F7D">
      <w:rPr>
        <w:lang w:val="ru-RU"/>
      </w:rPr>
      <w:fldChar w:fldCharType="begin"/>
    </w:r>
    <w:r w:rsidRPr="00F40F7D">
      <w:rPr>
        <w:lang w:val="ru-RU"/>
      </w:rPr>
      <w:instrText>PAGE   \* MERGEFORMAT</w:instrText>
    </w:r>
    <w:r w:rsidRPr="00F40F7D">
      <w:rPr>
        <w:lang w:val="ru-RU"/>
      </w:rPr>
      <w:fldChar w:fldCharType="separate"/>
    </w:r>
    <w:r>
      <w:rPr>
        <w:noProof/>
        <w:lang w:val="ru-RU"/>
      </w:rPr>
      <w:t>2</w:t>
    </w:r>
    <w:r>
      <w:rPr>
        <w:noProof/>
        <w:lang w:val="ru-RU"/>
      </w:rPr>
      <w:t>0</w:t>
    </w:r>
    <w:r w:rsidRPr="00F40F7D">
      <w:rPr>
        <w:lang w:val="ru-RU"/>
      </w:rPr>
      <w:fldChar w:fldCharType="end"/>
    </w:r>
  </w:p>
  <w:p w14:paraId="5C764F3C" w14:textId="77777777" w:rsidR="00B5538A" w:rsidRPr="00F40F7D" w:rsidRDefault="00B5538A">
    <w:pPr>
      <w:pStyle w:val="Footer"/>
      <w:tabs>
        <w:tab w:val="right" w:pos="7938"/>
      </w:tabs>
      <w:ind w:left="1418"/>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3234D" w14:textId="77777777" w:rsidR="00AA085E" w:rsidRDefault="00AA085E">
      <w:r>
        <w:separator/>
      </w:r>
    </w:p>
  </w:footnote>
  <w:footnote w:type="continuationSeparator" w:id="0">
    <w:p w14:paraId="5D223032" w14:textId="77777777" w:rsidR="00AA085E" w:rsidRDefault="00AA085E">
      <w:r>
        <w:continuationSeparator/>
      </w:r>
    </w:p>
  </w:footnote>
  <w:footnote w:type="continuationNotice" w:id="1">
    <w:p w14:paraId="28158E81" w14:textId="77777777" w:rsidR="00AA085E" w:rsidRDefault="00AA085E"/>
  </w:footnote>
  <w:footnote w:id="2">
    <w:p w14:paraId="5742DCDF" w14:textId="77777777" w:rsidR="00D6200B" w:rsidRPr="00A72819" w:rsidRDefault="00D6200B" w:rsidP="00D6200B">
      <w:pPr>
        <w:pStyle w:val="FootnoteText"/>
        <w:rPr>
          <w:rFonts w:ascii="Calibri" w:hAnsi="Calibri" w:cs="Calibri"/>
          <w:noProof/>
        </w:rPr>
      </w:pPr>
      <w:r w:rsidRPr="00A72819">
        <w:rPr>
          <w:rStyle w:val="FootnoteReference"/>
          <w:noProof/>
        </w:rPr>
        <w:footnoteRef/>
      </w:r>
      <w:r w:rsidRPr="00A72819">
        <w:rPr>
          <w:rFonts w:ascii="Calibri" w:hAnsi="Calibri" w:cs="Calibri"/>
          <w:noProof/>
        </w:rPr>
        <w:t xml:space="preserve"> Accommodation services in 3-4 star accommodation establishments.</w:t>
      </w:r>
    </w:p>
  </w:footnote>
  <w:footnote w:id="3">
    <w:p w14:paraId="42AAF4AF" w14:textId="77777777" w:rsidR="00027EB2" w:rsidRPr="00A72819" w:rsidRDefault="00027EB2" w:rsidP="00027EB2">
      <w:pPr>
        <w:pStyle w:val="FootnoteText"/>
        <w:jc w:val="both"/>
        <w:rPr>
          <w:rFonts w:ascii="Calibri" w:hAnsi="Calibri" w:cs="Calibri"/>
          <w:noProof/>
        </w:rPr>
      </w:pPr>
      <w:r w:rsidRPr="00A72819">
        <w:rPr>
          <w:rStyle w:val="FootnoteReference"/>
          <w:rFonts w:ascii="Calibri" w:hAnsi="Calibri" w:cs="Calibri"/>
          <w:noProof/>
        </w:rPr>
        <w:footnoteRef/>
      </w:r>
      <w:r w:rsidRPr="00A72819">
        <w:rPr>
          <w:rFonts w:ascii="Calibri" w:hAnsi="Calibri" w:cs="Calibri"/>
          <w:noProof/>
        </w:rPr>
        <w:t xml:space="preserve"> The service is provided by 1 (one) interpreter. If 2 (two) interpreters are required, the actual price is calculated by multiplying it by 2 (two).</w:t>
      </w:r>
    </w:p>
  </w:footnote>
  <w:footnote w:id="4">
    <w:p w14:paraId="60F87F16" w14:textId="77777777" w:rsidR="00D6200B" w:rsidRPr="00960DFF" w:rsidRDefault="00D6200B" w:rsidP="00D6200B">
      <w:pPr>
        <w:pStyle w:val="FootnoteText"/>
        <w:jc w:val="both"/>
        <w:rPr>
          <w:lang w:val="lt-LT"/>
        </w:rPr>
      </w:pPr>
      <w:r w:rsidRPr="00A72819">
        <w:rPr>
          <w:rStyle w:val="FootnoteReference"/>
          <w:noProof/>
        </w:rPr>
        <w:footnoteRef/>
      </w:r>
      <w:r w:rsidRPr="00A72819">
        <w:rPr>
          <w:rFonts w:ascii="Calibri" w:hAnsi="Calibri" w:cs="Calibri"/>
          <w:noProof/>
        </w:rPr>
        <w:t xml:space="preserve"> The service is provided by 2 (two) interpreters</w:t>
      </w:r>
      <w:r w:rsidRPr="00A72819">
        <w:rPr>
          <w:rFonts w:ascii="Calibri" w:hAnsi="Calibri" w:cs="Calibri"/>
          <w:noProof/>
          <w:lang w:eastAsia="ru-RU"/>
        </w:rPr>
        <w:t>.</w:t>
      </w:r>
      <w:r w:rsidRPr="00960DFF">
        <w:rPr>
          <w:rFonts w:ascii="Calibri" w:hAnsi="Calibri" w:cs="Calibri"/>
          <w:lang w:val="lt-LT" w:eastAsia="ru-RU"/>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6131F"/>
    <w:multiLevelType w:val="hybridMultilevel"/>
    <w:tmpl w:val="9140D9D4"/>
    <w:lvl w:ilvl="0" w:tplc="20D26DBC">
      <w:start w:val="1"/>
      <w:numFmt w:val="bullet"/>
      <w:lvlText w:val=""/>
      <w:lvlJc w:val="left"/>
      <w:pPr>
        <w:ind w:left="1080" w:hanging="360"/>
      </w:pPr>
      <w:rPr>
        <w:rFonts w:ascii="Symbol" w:hAnsi="Symbol"/>
      </w:rPr>
    </w:lvl>
    <w:lvl w:ilvl="1" w:tplc="483EDDA0">
      <w:start w:val="1"/>
      <w:numFmt w:val="bullet"/>
      <w:lvlText w:val=""/>
      <w:lvlJc w:val="left"/>
      <w:pPr>
        <w:ind w:left="1080" w:hanging="360"/>
      </w:pPr>
      <w:rPr>
        <w:rFonts w:ascii="Symbol" w:hAnsi="Symbol"/>
      </w:rPr>
    </w:lvl>
    <w:lvl w:ilvl="2" w:tplc="F83A8D5E">
      <w:start w:val="1"/>
      <w:numFmt w:val="bullet"/>
      <w:lvlText w:val=""/>
      <w:lvlJc w:val="left"/>
      <w:pPr>
        <w:ind w:left="1080" w:hanging="360"/>
      </w:pPr>
      <w:rPr>
        <w:rFonts w:ascii="Symbol" w:hAnsi="Symbol"/>
      </w:rPr>
    </w:lvl>
    <w:lvl w:ilvl="3" w:tplc="F906EAE0">
      <w:start w:val="1"/>
      <w:numFmt w:val="bullet"/>
      <w:lvlText w:val=""/>
      <w:lvlJc w:val="left"/>
      <w:pPr>
        <w:ind w:left="1080" w:hanging="360"/>
      </w:pPr>
      <w:rPr>
        <w:rFonts w:ascii="Symbol" w:hAnsi="Symbol"/>
      </w:rPr>
    </w:lvl>
    <w:lvl w:ilvl="4" w:tplc="4222603A">
      <w:start w:val="1"/>
      <w:numFmt w:val="bullet"/>
      <w:lvlText w:val=""/>
      <w:lvlJc w:val="left"/>
      <w:pPr>
        <w:ind w:left="1080" w:hanging="360"/>
      </w:pPr>
      <w:rPr>
        <w:rFonts w:ascii="Symbol" w:hAnsi="Symbol"/>
      </w:rPr>
    </w:lvl>
    <w:lvl w:ilvl="5" w:tplc="050E47D8">
      <w:start w:val="1"/>
      <w:numFmt w:val="bullet"/>
      <w:lvlText w:val=""/>
      <w:lvlJc w:val="left"/>
      <w:pPr>
        <w:ind w:left="1080" w:hanging="360"/>
      </w:pPr>
      <w:rPr>
        <w:rFonts w:ascii="Symbol" w:hAnsi="Symbol"/>
      </w:rPr>
    </w:lvl>
    <w:lvl w:ilvl="6" w:tplc="BE72CA70">
      <w:start w:val="1"/>
      <w:numFmt w:val="bullet"/>
      <w:lvlText w:val=""/>
      <w:lvlJc w:val="left"/>
      <w:pPr>
        <w:ind w:left="1080" w:hanging="360"/>
      </w:pPr>
      <w:rPr>
        <w:rFonts w:ascii="Symbol" w:hAnsi="Symbol"/>
      </w:rPr>
    </w:lvl>
    <w:lvl w:ilvl="7" w:tplc="C9EA927E">
      <w:start w:val="1"/>
      <w:numFmt w:val="bullet"/>
      <w:lvlText w:val=""/>
      <w:lvlJc w:val="left"/>
      <w:pPr>
        <w:ind w:left="1080" w:hanging="360"/>
      </w:pPr>
      <w:rPr>
        <w:rFonts w:ascii="Symbol" w:hAnsi="Symbol"/>
      </w:rPr>
    </w:lvl>
    <w:lvl w:ilvl="8" w:tplc="5E36CB12">
      <w:start w:val="1"/>
      <w:numFmt w:val="bullet"/>
      <w:lvlText w:val=""/>
      <w:lvlJc w:val="left"/>
      <w:pPr>
        <w:ind w:left="1080" w:hanging="360"/>
      </w:pPr>
      <w:rPr>
        <w:rFonts w:ascii="Symbol" w:hAnsi="Symbol"/>
      </w:rPr>
    </w:lvl>
  </w:abstractNum>
  <w:abstractNum w:abstractNumId="1" w15:restartNumberingAfterBreak="0">
    <w:nsid w:val="0DAA60B9"/>
    <w:multiLevelType w:val="hybridMultilevel"/>
    <w:tmpl w:val="DA38556E"/>
    <w:lvl w:ilvl="0" w:tplc="E1586FCE">
      <w:start w:val="1"/>
      <w:numFmt w:val="bullet"/>
      <w:lvlText w:val=""/>
      <w:lvlJc w:val="left"/>
      <w:pPr>
        <w:ind w:left="1080" w:hanging="360"/>
      </w:pPr>
      <w:rPr>
        <w:rFonts w:ascii="Symbol" w:hAnsi="Symbol"/>
      </w:rPr>
    </w:lvl>
    <w:lvl w:ilvl="1" w:tplc="9AD8B5E0">
      <w:start w:val="1"/>
      <w:numFmt w:val="bullet"/>
      <w:lvlText w:val=""/>
      <w:lvlJc w:val="left"/>
      <w:pPr>
        <w:ind w:left="1080" w:hanging="360"/>
      </w:pPr>
      <w:rPr>
        <w:rFonts w:ascii="Symbol" w:hAnsi="Symbol"/>
      </w:rPr>
    </w:lvl>
    <w:lvl w:ilvl="2" w:tplc="D25CC9F2">
      <w:start w:val="1"/>
      <w:numFmt w:val="bullet"/>
      <w:lvlText w:val=""/>
      <w:lvlJc w:val="left"/>
      <w:pPr>
        <w:ind w:left="1080" w:hanging="360"/>
      </w:pPr>
      <w:rPr>
        <w:rFonts w:ascii="Symbol" w:hAnsi="Symbol"/>
      </w:rPr>
    </w:lvl>
    <w:lvl w:ilvl="3" w:tplc="0436C7E4">
      <w:start w:val="1"/>
      <w:numFmt w:val="bullet"/>
      <w:lvlText w:val=""/>
      <w:lvlJc w:val="left"/>
      <w:pPr>
        <w:ind w:left="1080" w:hanging="360"/>
      </w:pPr>
      <w:rPr>
        <w:rFonts w:ascii="Symbol" w:hAnsi="Symbol"/>
      </w:rPr>
    </w:lvl>
    <w:lvl w:ilvl="4" w:tplc="1D7452F0">
      <w:start w:val="1"/>
      <w:numFmt w:val="bullet"/>
      <w:lvlText w:val=""/>
      <w:lvlJc w:val="left"/>
      <w:pPr>
        <w:ind w:left="1080" w:hanging="360"/>
      </w:pPr>
      <w:rPr>
        <w:rFonts w:ascii="Symbol" w:hAnsi="Symbol"/>
      </w:rPr>
    </w:lvl>
    <w:lvl w:ilvl="5" w:tplc="15BC1FEA">
      <w:start w:val="1"/>
      <w:numFmt w:val="bullet"/>
      <w:lvlText w:val=""/>
      <w:lvlJc w:val="left"/>
      <w:pPr>
        <w:ind w:left="1080" w:hanging="360"/>
      </w:pPr>
      <w:rPr>
        <w:rFonts w:ascii="Symbol" w:hAnsi="Symbol"/>
      </w:rPr>
    </w:lvl>
    <w:lvl w:ilvl="6" w:tplc="CE94A84E">
      <w:start w:val="1"/>
      <w:numFmt w:val="bullet"/>
      <w:lvlText w:val=""/>
      <w:lvlJc w:val="left"/>
      <w:pPr>
        <w:ind w:left="1080" w:hanging="360"/>
      </w:pPr>
      <w:rPr>
        <w:rFonts w:ascii="Symbol" w:hAnsi="Symbol"/>
      </w:rPr>
    </w:lvl>
    <w:lvl w:ilvl="7" w:tplc="58588914">
      <w:start w:val="1"/>
      <w:numFmt w:val="bullet"/>
      <w:lvlText w:val=""/>
      <w:lvlJc w:val="left"/>
      <w:pPr>
        <w:ind w:left="1080" w:hanging="360"/>
      </w:pPr>
      <w:rPr>
        <w:rFonts w:ascii="Symbol" w:hAnsi="Symbol"/>
      </w:rPr>
    </w:lvl>
    <w:lvl w:ilvl="8" w:tplc="2E5E2F6C">
      <w:start w:val="1"/>
      <w:numFmt w:val="bullet"/>
      <w:lvlText w:val=""/>
      <w:lvlJc w:val="left"/>
      <w:pPr>
        <w:ind w:left="1080" w:hanging="360"/>
      </w:pPr>
      <w:rPr>
        <w:rFonts w:ascii="Symbol" w:hAnsi="Symbol"/>
      </w:rPr>
    </w:lvl>
  </w:abstractNum>
  <w:abstractNum w:abstractNumId="2" w15:restartNumberingAfterBreak="0">
    <w:nsid w:val="123075CD"/>
    <w:multiLevelType w:val="multilevel"/>
    <w:tmpl w:val="47D0857E"/>
    <w:lvl w:ilvl="0">
      <w:start w:val="1"/>
      <w:numFmt w:val="upperRoman"/>
      <w:lvlText w:val="%1."/>
      <w:lvlJc w:val="left"/>
      <w:pPr>
        <w:ind w:left="1429" w:hanging="720"/>
      </w:pPr>
    </w:lvl>
    <w:lvl w:ilvl="1">
      <w:start w:val="1"/>
      <w:numFmt w:val="decimal"/>
      <w:isLgl/>
      <w:lvlText w:val="%1.%2."/>
      <w:lvlJc w:val="left"/>
      <w:pPr>
        <w:ind w:left="1713" w:hanging="720"/>
      </w:pPr>
    </w:lvl>
    <w:lvl w:ilvl="2">
      <w:start w:val="1"/>
      <w:numFmt w:val="decimal"/>
      <w:isLgl/>
      <w:lvlText w:val="%1.%2.%3."/>
      <w:lvlJc w:val="left"/>
      <w:pPr>
        <w:ind w:left="1997" w:hanging="720"/>
      </w:pPr>
    </w:lvl>
    <w:lvl w:ilvl="3">
      <w:start w:val="1"/>
      <w:numFmt w:val="decimal"/>
      <w:isLgl/>
      <w:lvlText w:val="%1.%2.%3.%4."/>
      <w:lvlJc w:val="left"/>
      <w:pPr>
        <w:ind w:left="2641" w:hanging="1080"/>
      </w:pPr>
    </w:lvl>
    <w:lvl w:ilvl="4">
      <w:start w:val="1"/>
      <w:numFmt w:val="decimal"/>
      <w:isLgl/>
      <w:lvlText w:val="%1.%2.%3.%4.%5."/>
      <w:lvlJc w:val="left"/>
      <w:pPr>
        <w:ind w:left="3285" w:hanging="1440"/>
      </w:pPr>
    </w:lvl>
    <w:lvl w:ilvl="5">
      <w:start w:val="1"/>
      <w:numFmt w:val="decimal"/>
      <w:isLgl/>
      <w:lvlText w:val="%1.%2.%3.%4.%5.%6."/>
      <w:lvlJc w:val="left"/>
      <w:pPr>
        <w:ind w:left="3569" w:hanging="1440"/>
      </w:pPr>
    </w:lvl>
    <w:lvl w:ilvl="6">
      <w:start w:val="1"/>
      <w:numFmt w:val="decimal"/>
      <w:isLgl/>
      <w:lvlText w:val="%1.%2.%3.%4.%5.%6.%7."/>
      <w:lvlJc w:val="left"/>
      <w:pPr>
        <w:ind w:left="4213" w:hanging="1800"/>
      </w:pPr>
    </w:lvl>
    <w:lvl w:ilvl="7">
      <w:start w:val="1"/>
      <w:numFmt w:val="decimal"/>
      <w:isLgl/>
      <w:lvlText w:val="%1.%2.%3.%4.%5.%6.%7.%8."/>
      <w:lvlJc w:val="left"/>
      <w:pPr>
        <w:ind w:left="4857" w:hanging="2160"/>
      </w:pPr>
    </w:lvl>
    <w:lvl w:ilvl="8">
      <w:start w:val="1"/>
      <w:numFmt w:val="decimal"/>
      <w:isLgl/>
      <w:lvlText w:val="%1.%2.%3.%4.%5.%6.%7.%8.%9."/>
      <w:lvlJc w:val="left"/>
      <w:pPr>
        <w:ind w:left="5141" w:hanging="2160"/>
      </w:pPr>
    </w:lvl>
  </w:abstractNum>
  <w:abstractNum w:abstractNumId="3" w15:restartNumberingAfterBreak="0">
    <w:nsid w:val="1C2C0389"/>
    <w:multiLevelType w:val="multilevel"/>
    <w:tmpl w:val="F006D33C"/>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0451DFF"/>
    <w:multiLevelType w:val="hybridMultilevel"/>
    <w:tmpl w:val="3D9E2B54"/>
    <w:lvl w:ilvl="0" w:tplc="1578EF5C">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3C46209"/>
    <w:multiLevelType w:val="hybridMultilevel"/>
    <w:tmpl w:val="9CF628B2"/>
    <w:lvl w:ilvl="0" w:tplc="A6082810">
      <w:start w:val="1"/>
      <w:numFmt w:val="bullet"/>
      <w:lvlText w:val=""/>
      <w:lvlJc w:val="left"/>
      <w:pPr>
        <w:ind w:left="1080" w:hanging="360"/>
      </w:pPr>
      <w:rPr>
        <w:rFonts w:ascii="Symbol" w:hAnsi="Symbol"/>
      </w:rPr>
    </w:lvl>
    <w:lvl w:ilvl="1" w:tplc="4412BA44">
      <w:start w:val="1"/>
      <w:numFmt w:val="bullet"/>
      <w:lvlText w:val=""/>
      <w:lvlJc w:val="left"/>
      <w:pPr>
        <w:ind w:left="1080" w:hanging="360"/>
      </w:pPr>
      <w:rPr>
        <w:rFonts w:ascii="Symbol" w:hAnsi="Symbol"/>
      </w:rPr>
    </w:lvl>
    <w:lvl w:ilvl="2" w:tplc="58AC2326">
      <w:start w:val="1"/>
      <w:numFmt w:val="bullet"/>
      <w:lvlText w:val=""/>
      <w:lvlJc w:val="left"/>
      <w:pPr>
        <w:ind w:left="1080" w:hanging="360"/>
      </w:pPr>
      <w:rPr>
        <w:rFonts w:ascii="Symbol" w:hAnsi="Symbol"/>
      </w:rPr>
    </w:lvl>
    <w:lvl w:ilvl="3" w:tplc="F558E2AC">
      <w:start w:val="1"/>
      <w:numFmt w:val="bullet"/>
      <w:lvlText w:val=""/>
      <w:lvlJc w:val="left"/>
      <w:pPr>
        <w:ind w:left="1080" w:hanging="360"/>
      </w:pPr>
      <w:rPr>
        <w:rFonts w:ascii="Symbol" w:hAnsi="Symbol"/>
      </w:rPr>
    </w:lvl>
    <w:lvl w:ilvl="4" w:tplc="83886D16">
      <w:start w:val="1"/>
      <w:numFmt w:val="bullet"/>
      <w:lvlText w:val=""/>
      <w:lvlJc w:val="left"/>
      <w:pPr>
        <w:ind w:left="1080" w:hanging="360"/>
      </w:pPr>
      <w:rPr>
        <w:rFonts w:ascii="Symbol" w:hAnsi="Symbol"/>
      </w:rPr>
    </w:lvl>
    <w:lvl w:ilvl="5" w:tplc="50D8FF2E">
      <w:start w:val="1"/>
      <w:numFmt w:val="bullet"/>
      <w:lvlText w:val=""/>
      <w:lvlJc w:val="left"/>
      <w:pPr>
        <w:ind w:left="1080" w:hanging="360"/>
      </w:pPr>
      <w:rPr>
        <w:rFonts w:ascii="Symbol" w:hAnsi="Symbol"/>
      </w:rPr>
    </w:lvl>
    <w:lvl w:ilvl="6" w:tplc="25826A2A">
      <w:start w:val="1"/>
      <w:numFmt w:val="bullet"/>
      <w:lvlText w:val=""/>
      <w:lvlJc w:val="left"/>
      <w:pPr>
        <w:ind w:left="1080" w:hanging="360"/>
      </w:pPr>
      <w:rPr>
        <w:rFonts w:ascii="Symbol" w:hAnsi="Symbol"/>
      </w:rPr>
    </w:lvl>
    <w:lvl w:ilvl="7" w:tplc="622ED78C">
      <w:start w:val="1"/>
      <w:numFmt w:val="bullet"/>
      <w:lvlText w:val=""/>
      <w:lvlJc w:val="left"/>
      <w:pPr>
        <w:ind w:left="1080" w:hanging="360"/>
      </w:pPr>
      <w:rPr>
        <w:rFonts w:ascii="Symbol" w:hAnsi="Symbol"/>
      </w:rPr>
    </w:lvl>
    <w:lvl w:ilvl="8" w:tplc="C2F6F9AE">
      <w:start w:val="1"/>
      <w:numFmt w:val="bullet"/>
      <w:lvlText w:val=""/>
      <w:lvlJc w:val="left"/>
      <w:pPr>
        <w:ind w:left="1080" w:hanging="360"/>
      </w:pPr>
      <w:rPr>
        <w:rFonts w:ascii="Symbol" w:hAnsi="Symbol"/>
      </w:rPr>
    </w:lvl>
  </w:abstractNum>
  <w:abstractNum w:abstractNumId="6" w15:restartNumberingAfterBreak="0">
    <w:nsid w:val="258D5AA2"/>
    <w:multiLevelType w:val="hybridMultilevel"/>
    <w:tmpl w:val="3D569B94"/>
    <w:lvl w:ilvl="0" w:tplc="F3801A2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59B6710"/>
    <w:multiLevelType w:val="hybridMultilevel"/>
    <w:tmpl w:val="0FB8782C"/>
    <w:lvl w:ilvl="0" w:tplc="66AA036E">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41DE339F"/>
    <w:multiLevelType w:val="multilevel"/>
    <w:tmpl w:val="F006D33C"/>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58013F0"/>
    <w:multiLevelType w:val="hybridMultilevel"/>
    <w:tmpl w:val="FF90D0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77478EA"/>
    <w:multiLevelType w:val="hybridMultilevel"/>
    <w:tmpl w:val="74A443D4"/>
    <w:lvl w:ilvl="0" w:tplc="685CF368">
      <w:start w:val="2"/>
      <w:numFmt w:val="decimal"/>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532A3F33"/>
    <w:multiLevelType w:val="hybridMultilevel"/>
    <w:tmpl w:val="6BCC131C"/>
    <w:lvl w:ilvl="0" w:tplc="5A2CBCE0">
      <w:start w:val="2"/>
      <w:numFmt w:val="decimal"/>
      <w:lvlText w:val="%1"/>
      <w:lvlJc w:val="left"/>
      <w:pPr>
        <w:ind w:left="660" w:hanging="360"/>
      </w:pPr>
      <w:rPr>
        <w:rFonts w:hint="default"/>
      </w:rPr>
    </w:lvl>
    <w:lvl w:ilvl="1" w:tplc="04270019" w:tentative="1">
      <w:start w:val="1"/>
      <w:numFmt w:val="lowerLetter"/>
      <w:lvlText w:val="%2."/>
      <w:lvlJc w:val="left"/>
      <w:pPr>
        <w:ind w:left="1380" w:hanging="360"/>
      </w:pPr>
    </w:lvl>
    <w:lvl w:ilvl="2" w:tplc="0427001B" w:tentative="1">
      <w:start w:val="1"/>
      <w:numFmt w:val="lowerRoman"/>
      <w:lvlText w:val="%3."/>
      <w:lvlJc w:val="right"/>
      <w:pPr>
        <w:ind w:left="2100" w:hanging="180"/>
      </w:pPr>
    </w:lvl>
    <w:lvl w:ilvl="3" w:tplc="0427000F" w:tentative="1">
      <w:start w:val="1"/>
      <w:numFmt w:val="decimal"/>
      <w:lvlText w:val="%4."/>
      <w:lvlJc w:val="left"/>
      <w:pPr>
        <w:ind w:left="2820" w:hanging="360"/>
      </w:pPr>
    </w:lvl>
    <w:lvl w:ilvl="4" w:tplc="04270019" w:tentative="1">
      <w:start w:val="1"/>
      <w:numFmt w:val="lowerLetter"/>
      <w:lvlText w:val="%5."/>
      <w:lvlJc w:val="left"/>
      <w:pPr>
        <w:ind w:left="3540" w:hanging="360"/>
      </w:pPr>
    </w:lvl>
    <w:lvl w:ilvl="5" w:tplc="0427001B" w:tentative="1">
      <w:start w:val="1"/>
      <w:numFmt w:val="lowerRoman"/>
      <w:lvlText w:val="%6."/>
      <w:lvlJc w:val="right"/>
      <w:pPr>
        <w:ind w:left="4260" w:hanging="180"/>
      </w:pPr>
    </w:lvl>
    <w:lvl w:ilvl="6" w:tplc="0427000F" w:tentative="1">
      <w:start w:val="1"/>
      <w:numFmt w:val="decimal"/>
      <w:lvlText w:val="%7."/>
      <w:lvlJc w:val="left"/>
      <w:pPr>
        <w:ind w:left="4980" w:hanging="360"/>
      </w:pPr>
    </w:lvl>
    <w:lvl w:ilvl="7" w:tplc="04270019" w:tentative="1">
      <w:start w:val="1"/>
      <w:numFmt w:val="lowerLetter"/>
      <w:lvlText w:val="%8."/>
      <w:lvlJc w:val="left"/>
      <w:pPr>
        <w:ind w:left="5700" w:hanging="360"/>
      </w:pPr>
    </w:lvl>
    <w:lvl w:ilvl="8" w:tplc="0427001B" w:tentative="1">
      <w:start w:val="1"/>
      <w:numFmt w:val="lowerRoman"/>
      <w:lvlText w:val="%9."/>
      <w:lvlJc w:val="right"/>
      <w:pPr>
        <w:ind w:left="6420" w:hanging="180"/>
      </w:pPr>
    </w:lvl>
  </w:abstractNum>
  <w:abstractNum w:abstractNumId="12" w15:restartNumberingAfterBreak="0">
    <w:nsid w:val="545B6501"/>
    <w:multiLevelType w:val="hybridMultilevel"/>
    <w:tmpl w:val="93B62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DCC3891"/>
    <w:multiLevelType w:val="multilevel"/>
    <w:tmpl w:val="71AAF680"/>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4" w15:restartNumberingAfterBreak="0">
    <w:nsid w:val="67EF1AE0"/>
    <w:multiLevelType w:val="multilevel"/>
    <w:tmpl w:val="47D0857E"/>
    <w:lvl w:ilvl="0">
      <w:start w:val="1"/>
      <w:numFmt w:val="upperRoman"/>
      <w:lvlText w:val="%1."/>
      <w:lvlJc w:val="left"/>
      <w:pPr>
        <w:ind w:left="1429" w:hanging="720"/>
      </w:pPr>
    </w:lvl>
    <w:lvl w:ilvl="1">
      <w:start w:val="1"/>
      <w:numFmt w:val="decimal"/>
      <w:isLgl/>
      <w:lvlText w:val="%1.%2."/>
      <w:lvlJc w:val="left"/>
      <w:pPr>
        <w:ind w:left="1713" w:hanging="720"/>
      </w:pPr>
    </w:lvl>
    <w:lvl w:ilvl="2">
      <w:start w:val="1"/>
      <w:numFmt w:val="decimal"/>
      <w:isLgl/>
      <w:lvlText w:val="%1.%2.%3."/>
      <w:lvlJc w:val="left"/>
      <w:pPr>
        <w:ind w:left="1997" w:hanging="720"/>
      </w:pPr>
    </w:lvl>
    <w:lvl w:ilvl="3">
      <w:start w:val="1"/>
      <w:numFmt w:val="decimal"/>
      <w:isLgl/>
      <w:lvlText w:val="%1.%2.%3.%4."/>
      <w:lvlJc w:val="left"/>
      <w:pPr>
        <w:ind w:left="2641" w:hanging="1080"/>
      </w:pPr>
    </w:lvl>
    <w:lvl w:ilvl="4">
      <w:start w:val="1"/>
      <w:numFmt w:val="decimal"/>
      <w:isLgl/>
      <w:lvlText w:val="%1.%2.%3.%4.%5."/>
      <w:lvlJc w:val="left"/>
      <w:pPr>
        <w:ind w:left="3285" w:hanging="1440"/>
      </w:pPr>
    </w:lvl>
    <w:lvl w:ilvl="5">
      <w:start w:val="1"/>
      <w:numFmt w:val="decimal"/>
      <w:isLgl/>
      <w:lvlText w:val="%1.%2.%3.%4.%5.%6."/>
      <w:lvlJc w:val="left"/>
      <w:pPr>
        <w:ind w:left="3569" w:hanging="1440"/>
      </w:pPr>
    </w:lvl>
    <w:lvl w:ilvl="6">
      <w:start w:val="1"/>
      <w:numFmt w:val="decimal"/>
      <w:isLgl/>
      <w:lvlText w:val="%1.%2.%3.%4.%5.%6.%7."/>
      <w:lvlJc w:val="left"/>
      <w:pPr>
        <w:ind w:left="4213" w:hanging="1800"/>
      </w:pPr>
    </w:lvl>
    <w:lvl w:ilvl="7">
      <w:start w:val="1"/>
      <w:numFmt w:val="decimal"/>
      <w:isLgl/>
      <w:lvlText w:val="%1.%2.%3.%4.%5.%6.%7.%8."/>
      <w:lvlJc w:val="left"/>
      <w:pPr>
        <w:ind w:left="4857" w:hanging="2160"/>
      </w:pPr>
    </w:lvl>
    <w:lvl w:ilvl="8">
      <w:start w:val="1"/>
      <w:numFmt w:val="decimal"/>
      <w:isLgl/>
      <w:lvlText w:val="%1.%2.%3.%4.%5.%6.%7.%8.%9."/>
      <w:lvlJc w:val="left"/>
      <w:pPr>
        <w:ind w:left="5141" w:hanging="2160"/>
      </w:pPr>
    </w:lvl>
  </w:abstractNum>
  <w:num w:numId="1" w16cid:durableId="4465875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24106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5390149">
    <w:abstractNumId w:val="12"/>
  </w:num>
  <w:num w:numId="4" w16cid:durableId="316879696">
    <w:abstractNumId w:val="7"/>
  </w:num>
  <w:num w:numId="5" w16cid:durableId="1257205634">
    <w:abstractNumId w:val="3"/>
  </w:num>
  <w:num w:numId="6" w16cid:durableId="1248546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385710">
    <w:abstractNumId w:val="0"/>
  </w:num>
  <w:num w:numId="8" w16cid:durableId="1490053514">
    <w:abstractNumId w:val="1"/>
  </w:num>
  <w:num w:numId="9" w16cid:durableId="538398998">
    <w:abstractNumId w:val="5"/>
  </w:num>
  <w:num w:numId="10" w16cid:durableId="799498067">
    <w:abstractNumId w:val="11"/>
  </w:num>
  <w:num w:numId="11" w16cid:durableId="1076442363">
    <w:abstractNumId w:val="10"/>
  </w:num>
  <w:num w:numId="12" w16cid:durableId="1736316138">
    <w:abstractNumId w:val="4"/>
  </w:num>
  <w:num w:numId="13" w16cid:durableId="147017648">
    <w:abstractNumId w:val="8"/>
  </w:num>
  <w:num w:numId="14" w16cid:durableId="1048380544">
    <w:abstractNumId w:val="14"/>
  </w:num>
  <w:num w:numId="15" w16cid:durableId="19735175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EA8"/>
    <w:rsid w:val="00027EB2"/>
    <w:rsid w:val="000325D4"/>
    <w:rsid w:val="00034451"/>
    <w:rsid w:val="00042D7E"/>
    <w:rsid w:val="0004463C"/>
    <w:rsid w:val="000463AA"/>
    <w:rsid w:val="000547FE"/>
    <w:rsid w:val="0006378B"/>
    <w:rsid w:val="000657EA"/>
    <w:rsid w:val="000709F2"/>
    <w:rsid w:val="000761DF"/>
    <w:rsid w:val="00081D66"/>
    <w:rsid w:val="00082FD9"/>
    <w:rsid w:val="000854FF"/>
    <w:rsid w:val="000A405C"/>
    <w:rsid w:val="000B6C75"/>
    <w:rsid w:val="000B6D47"/>
    <w:rsid w:val="000C5AC4"/>
    <w:rsid w:val="000C7E99"/>
    <w:rsid w:val="000D01A4"/>
    <w:rsid w:val="000D51D5"/>
    <w:rsid w:val="000E11CB"/>
    <w:rsid w:val="000E33FF"/>
    <w:rsid w:val="000F24C9"/>
    <w:rsid w:val="000F4A94"/>
    <w:rsid w:val="00112516"/>
    <w:rsid w:val="001201CB"/>
    <w:rsid w:val="001238AC"/>
    <w:rsid w:val="00126A71"/>
    <w:rsid w:val="0013459F"/>
    <w:rsid w:val="00142858"/>
    <w:rsid w:val="00150358"/>
    <w:rsid w:val="001526D0"/>
    <w:rsid w:val="00152ADC"/>
    <w:rsid w:val="00162640"/>
    <w:rsid w:val="00170FC9"/>
    <w:rsid w:val="00180AB7"/>
    <w:rsid w:val="001A558D"/>
    <w:rsid w:val="001A5E98"/>
    <w:rsid w:val="001B3348"/>
    <w:rsid w:val="001B7170"/>
    <w:rsid w:val="001C005E"/>
    <w:rsid w:val="001D373E"/>
    <w:rsid w:val="001D669F"/>
    <w:rsid w:val="001F2F17"/>
    <w:rsid w:val="001F3669"/>
    <w:rsid w:val="0020044F"/>
    <w:rsid w:val="00202069"/>
    <w:rsid w:val="00207264"/>
    <w:rsid w:val="00215776"/>
    <w:rsid w:val="0023102A"/>
    <w:rsid w:val="00231318"/>
    <w:rsid w:val="00235BF1"/>
    <w:rsid w:val="00241810"/>
    <w:rsid w:val="002460B2"/>
    <w:rsid w:val="0026223C"/>
    <w:rsid w:val="002856C1"/>
    <w:rsid w:val="00291A18"/>
    <w:rsid w:val="00291CD1"/>
    <w:rsid w:val="002949A9"/>
    <w:rsid w:val="002A514E"/>
    <w:rsid w:val="002A5C13"/>
    <w:rsid w:val="002B188B"/>
    <w:rsid w:val="002B3107"/>
    <w:rsid w:val="002C593C"/>
    <w:rsid w:val="002E1880"/>
    <w:rsid w:val="002E266A"/>
    <w:rsid w:val="002E3C67"/>
    <w:rsid w:val="002F48E4"/>
    <w:rsid w:val="00304B5F"/>
    <w:rsid w:val="00317FE4"/>
    <w:rsid w:val="003203E9"/>
    <w:rsid w:val="003236DF"/>
    <w:rsid w:val="003318CC"/>
    <w:rsid w:val="003479D7"/>
    <w:rsid w:val="00362866"/>
    <w:rsid w:val="00363A25"/>
    <w:rsid w:val="00367480"/>
    <w:rsid w:val="00367536"/>
    <w:rsid w:val="00374119"/>
    <w:rsid w:val="003869C2"/>
    <w:rsid w:val="00390814"/>
    <w:rsid w:val="003921B6"/>
    <w:rsid w:val="003925EF"/>
    <w:rsid w:val="003937B4"/>
    <w:rsid w:val="0039468A"/>
    <w:rsid w:val="003A1672"/>
    <w:rsid w:val="003D1C88"/>
    <w:rsid w:val="003D5502"/>
    <w:rsid w:val="003D6E4A"/>
    <w:rsid w:val="003E1B58"/>
    <w:rsid w:val="003E251B"/>
    <w:rsid w:val="003E5DAF"/>
    <w:rsid w:val="003F0CDF"/>
    <w:rsid w:val="00401CC4"/>
    <w:rsid w:val="00405560"/>
    <w:rsid w:val="00413B33"/>
    <w:rsid w:val="00413D5F"/>
    <w:rsid w:val="004160F3"/>
    <w:rsid w:val="0041650F"/>
    <w:rsid w:val="00416DBC"/>
    <w:rsid w:val="0042582C"/>
    <w:rsid w:val="00425A33"/>
    <w:rsid w:val="004262CF"/>
    <w:rsid w:val="00434AB5"/>
    <w:rsid w:val="00442D2A"/>
    <w:rsid w:val="004567C0"/>
    <w:rsid w:val="00462080"/>
    <w:rsid w:val="00470C5E"/>
    <w:rsid w:val="00484B68"/>
    <w:rsid w:val="00486D03"/>
    <w:rsid w:val="004A2029"/>
    <w:rsid w:val="004A727A"/>
    <w:rsid w:val="004B3FF5"/>
    <w:rsid w:val="004C2456"/>
    <w:rsid w:val="004C69DA"/>
    <w:rsid w:val="004C7D52"/>
    <w:rsid w:val="004D031A"/>
    <w:rsid w:val="004D0E0B"/>
    <w:rsid w:val="004D3F9A"/>
    <w:rsid w:val="004E79FF"/>
    <w:rsid w:val="00507C99"/>
    <w:rsid w:val="00533EA8"/>
    <w:rsid w:val="00542786"/>
    <w:rsid w:val="00546097"/>
    <w:rsid w:val="00546711"/>
    <w:rsid w:val="005517EC"/>
    <w:rsid w:val="005558A7"/>
    <w:rsid w:val="00557F3E"/>
    <w:rsid w:val="00560CF2"/>
    <w:rsid w:val="00562E6F"/>
    <w:rsid w:val="0057243A"/>
    <w:rsid w:val="0059683F"/>
    <w:rsid w:val="005A38E7"/>
    <w:rsid w:val="005A4111"/>
    <w:rsid w:val="005D2FDF"/>
    <w:rsid w:val="005E5A04"/>
    <w:rsid w:val="005F4018"/>
    <w:rsid w:val="00615C45"/>
    <w:rsid w:val="00625FCF"/>
    <w:rsid w:val="00626A13"/>
    <w:rsid w:val="00626EDC"/>
    <w:rsid w:val="0062731D"/>
    <w:rsid w:val="00645801"/>
    <w:rsid w:val="006530F5"/>
    <w:rsid w:val="00653D57"/>
    <w:rsid w:val="006627AB"/>
    <w:rsid w:val="00665FF5"/>
    <w:rsid w:val="00686CA2"/>
    <w:rsid w:val="006908F8"/>
    <w:rsid w:val="00695C03"/>
    <w:rsid w:val="006A34D9"/>
    <w:rsid w:val="006A4B25"/>
    <w:rsid w:val="006B4153"/>
    <w:rsid w:val="006B6A4E"/>
    <w:rsid w:val="006C019B"/>
    <w:rsid w:val="006C2D9C"/>
    <w:rsid w:val="006D0411"/>
    <w:rsid w:val="006D2FB5"/>
    <w:rsid w:val="006E61F9"/>
    <w:rsid w:val="006F2776"/>
    <w:rsid w:val="006F2FED"/>
    <w:rsid w:val="00717FF5"/>
    <w:rsid w:val="007333D6"/>
    <w:rsid w:val="00733DC7"/>
    <w:rsid w:val="00740392"/>
    <w:rsid w:val="00743CF2"/>
    <w:rsid w:val="007657B9"/>
    <w:rsid w:val="00770814"/>
    <w:rsid w:val="00784ACB"/>
    <w:rsid w:val="00786439"/>
    <w:rsid w:val="00786AED"/>
    <w:rsid w:val="007A5751"/>
    <w:rsid w:val="007A63C8"/>
    <w:rsid w:val="007B0F42"/>
    <w:rsid w:val="007C6FEA"/>
    <w:rsid w:val="007D18EA"/>
    <w:rsid w:val="007D3397"/>
    <w:rsid w:val="007D35EE"/>
    <w:rsid w:val="007E2641"/>
    <w:rsid w:val="007F0121"/>
    <w:rsid w:val="007F2F6F"/>
    <w:rsid w:val="007F4642"/>
    <w:rsid w:val="007F5849"/>
    <w:rsid w:val="007F7B30"/>
    <w:rsid w:val="00800549"/>
    <w:rsid w:val="00803149"/>
    <w:rsid w:val="008075EB"/>
    <w:rsid w:val="00810374"/>
    <w:rsid w:val="0082222D"/>
    <w:rsid w:val="008337A2"/>
    <w:rsid w:val="008340E2"/>
    <w:rsid w:val="0085072D"/>
    <w:rsid w:val="00850A9A"/>
    <w:rsid w:val="00855B94"/>
    <w:rsid w:val="008665F8"/>
    <w:rsid w:val="008763D2"/>
    <w:rsid w:val="008876F8"/>
    <w:rsid w:val="00892EBA"/>
    <w:rsid w:val="008973A2"/>
    <w:rsid w:val="008A6612"/>
    <w:rsid w:val="008C4A89"/>
    <w:rsid w:val="008C673E"/>
    <w:rsid w:val="008C6B81"/>
    <w:rsid w:val="008D2ABE"/>
    <w:rsid w:val="008D2BEA"/>
    <w:rsid w:val="008E47B2"/>
    <w:rsid w:val="00901C3E"/>
    <w:rsid w:val="00906AFC"/>
    <w:rsid w:val="009152FF"/>
    <w:rsid w:val="009347DE"/>
    <w:rsid w:val="00934FDA"/>
    <w:rsid w:val="00943971"/>
    <w:rsid w:val="00947864"/>
    <w:rsid w:val="00953090"/>
    <w:rsid w:val="00960DFF"/>
    <w:rsid w:val="0096117F"/>
    <w:rsid w:val="00972FF6"/>
    <w:rsid w:val="00977B7F"/>
    <w:rsid w:val="00984915"/>
    <w:rsid w:val="00990E98"/>
    <w:rsid w:val="00991DE5"/>
    <w:rsid w:val="00995E3C"/>
    <w:rsid w:val="0099603F"/>
    <w:rsid w:val="009A1414"/>
    <w:rsid w:val="009A4A94"/>
    <w:rsid w:val="009A55B5"/>
    <w:rsid w:val="009C0355"/>
    <w:rsid w:val="009C55F2"/>
    <w:rsid w:val="009C719E"/>
    <w:rsid w:val="009D1005"/>
    <w:rsid w:val="009F4C4C"/>
    <w:rsid w:val="00A123AB"/>
    <w:rsid w:val="00A17A2B"/>
    <w:rsid w:val="00A23D4E"/>
    <w:rsid w:val="00A25259"/>
    <w:rsid w:val="00A34406"/>
    <w:rsid w:val="00A555A4"/>
    <w:rsid w:val="00A57F32"/>
    <w:rsid w:val="00A7140A"/>
    <w:rsid w:val="00A715E8"/>
    <w:rsid w:val="00A7615E"/>
    <w:rsid w:val="00A761C4"/>
    <w:rsid w:val="00A82779"/>
    <w:rsid w:val="00A8284D"/>
    <w:rsid w:val="00A85F75"/>
    <w:rsid w:val="00A94770"/>
    <w:rsid w:val="00AA085E"/>
    <w:rsid w:val="00AA1C6D"/>
    <w:rsid w:val="00AB01B7"/>
    <w:rsid w:val="00AB6BD5"/>
    <w:rsid w:val="00AC1705"/>
    <w:rsid w:val="00AC3E9B"/>
    <w:rsid w:val="00AD7DA9"/>
    <w:rsid w:val="00AE308C"/>
    <w:rsid w:val="00AE6C1C"/>
    <w:rsid w:val="00AE6EB9"/>
    <w:rsid w:val="00AF3336"/>
    <w:rsid w:val="00B158AA"/>
    <w:rsid w:val="00B20D36"/>
    <w:rsid w:val="00B21C2F"/>
    <w:rsid w:val="00B252BE"/>
    <w:rsid w:val="00B31645"/>
    <w:rsid w:val="00B3227A"/>
    <w:rsid w:val="00B33DB8"/>
    <w:rsid w:val="00B40114"/>
    <w:rsid w:val="00B4546C"/>
    <w:rsid w:val="00B46D7B"/>
    <w:rsid w:val="00B5538A"/>
    <w:rsid w:val="00B56E50"/>
    <w:rsid w:val="00B81ABA"/>
    <w:rsid w:val="00B856F5"/>
    <w:rsid w:val="00B94FB7"/>
    <w:rsid w:val="00B94FD1"/>
    <w:rsid w:val="00BA11B7"/>
    <w:rsid w:val="00BA7B1D"/>
    <w:rsid w:val="00BB43A7"/>
    <w:rsid w:val="00BC2E78"/>
    <w:rsid w:val="00BC6202"/>
    <w:rsid w:val="00BC6D29"/>
    <w:rsid w:val="00BD01DF"/>
    <w:rsid w:val="00BD3085"/>
    <w:rsid w:val="00BD623B"/>
    <w:rsid w:val="00BE56D4"/>
    <w:rsid w:val="00C03E65"/>
    <w:rsid w:val="00C05049"/>
    <w:rsid w:val="00C05C79"/>
    <w:rsid w:val="00C11FE4"/>
    <w:rsid w:val="00C20367"/>
    <w:rsid w:val="00C23295"/>
    <w:rsid w:val="00C27F63"/>
    <w:rsid w:val="00C40B7B"/>
    <w:rsid w:val="00C43423"/>
    <w:rsid w:val="00C5384C"/>
    <w:rsid w:val="00C5572B"/>
    <w:rsid w:val="00C63F39"/>
    <w:rsid w:val="00C8210A"/>
    <w:rsid w:val="00C85942"/>
    <w:rsid w:val="00C8762E"/>
    <w:rsid w:val="00CA03BF"/>
    <w:rsid w:val="00CA3C60"/>
    <w:rsid w:val="00CA7FFA"/>
    <w:rsid w:val="00CB0FD9"/>
    <w:rsid w:val="00CB1E8B"/>
    <w:rsid w:val="00CB22AC"/>
    <w:rsid w:val="00CC3878"/>
    <w:rsid w:val="00CC4E19"/>
    <w:rsid w:val="00CE0851"/>
    <w:rsid w:val="00CE32E5"/>
    <w:rsid w:val="00CE536A"/>
    <w:rsid w:val="00CF0A27"/>
    <w:rsid w:val="00D0022E"/>
    <w:rsid w:val="00D0029D"/>
    <w:rsid w:val="00D01394"/>
    <w:rsid w:val="00D0702C"/>
    <w:rsid w:val="00D10A51"/>
    <w:rsid w:val="00D130E9"/>
    <w:rsid w:val="00D26F94"/>
    <w:rsid w:val="00D314EC"/>
    <w:rsid w:val="00D34A1A"/>
    <w:rsid w:val="00D35D15"/>
    <w:rsid w:val="00D36DDF"/>
    <w:rsid w:val="00D40835"/>
    <w:rsid w:val="00D40A0F"/>
    <w:rsid w:val="00D41E70"/>
    <w:rsid w:val="00D472A2"/>
    <w:rsid w:val="00D477F4"/>
    <w:rsid w:val="00D50B5D"/>
    <w:rsid w:val="00D54958"/>
    <w:rsid w:val="00D564D5"/>
    <w:rsid w:val="00D6200B"/>
    <w:rsid w:val="00D64A82"/>
    <w:rsid w:val="00D73B9F"/>
    <w:rsid w:val="00D85F30"/>
    <w:rsid w:val="00D93BCB"/>
    <w:rsid w:val="00DB2310"/>
    <w:rsid w:val="00DB6B6F"/>
    <w:rsid w:val="00DB76F2"/>
    <w:rsid w:val="00DC626A"/>
    <w:rsid w:val="00DC6D00"/>
    <w:rsid w:val="00DD059E"/>
    <w:rsid w:val="00DD42D9"/>
    <w:rsid w:val="00DD5CB5"/>
    <w:rsid w:val="00DE29E2"/>
    <w:rsid w:val="00DF377E"/>
    <w:rsid w:val="00DF68D0"/>
    <w:rsid w:val="00E077D1"/>
    <w:rsid w:val="00E231AA"/>
    <w:rsid w:val="00E2438C"/>
    <w:rsid w:val="00E2461D"/>
    <w:rsid w:val="00E25697"/>
    <w:rsid w:val="00E344D1"/>
    <w:rsid w:val="00E36A40"/>
    <w:rsid w:val="00E465C6"/>
    <w:rsid w:val="00E548E6"/>
    <w:rsid w:val="00E63817"/>
    <w:rsid w:val="00E710DF"/>
    <w:rsid w:val="00E92190"/>
    <w:rsid w:val="00E95A88"/>
    <w:rsid w:val="00EA1AB8"/>
    <w:rsid w:val="00EA3693"/>
    <w:rsid w:val="00EA4B37"/>
    <w:rsid w:val="00EB14A7"/>
    <w:rsid w:val="00EB6B09"/>
    <w:rsid w:val="00EF0FF8"/>
    <w:rsid w:val="00EF62D8"/>
    <w:rsid w:val="00F17FA2"/>
    <w:rsid w:val="00F215A7"/>
    <w:rsid w:val="00F36F1B"/>
    <w:rsid w:val="00F50580"/>
    <w:rsid w:val="00F50E9F"/>
    <w:rsid w:val="00F66A7D"/>
    <w:rsid w:val="00F954B6"/>
    <w:rsid w:val="00FA5C18"/>
    <w:rsid w:val="00FB7BED"/>
    <w:rsid w:val="00FC0470"/>
    <w:rsid w:val="00FC2808"/>
    <w:rsid w:val="00FF0321"/>
    <w:rsid w:val="00FF38B1"/>
    <w:rsid w:val="00FF76E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4B338F"/>
  <w15:chartTrackingRefBased/>
  <w15:docId w15:val="{02CC1497-97E6-46A8-AD56-3532EA41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264"/>
    <w:pPr>
      <w:spacing w:after="0" w:line="240" w:lineRule="auto"/>
    </w:pPr>
    <w:rPr>
      <w:rFonts w:ascii="Times New Roman" w:eastAsia="Times New Roman" w:hAnsi="Times New Roman" w:cs="Times New Roman"/>
      <w:kern w:val="0"/>
      <w:lang w:val="en-GB"/>
      <w14:ligatures w14:val="none"/>
    </w:rPr>
  </w:style>
  <w:style w:type="paragraph" w:styleId="Heading1">
    <w:name w:val="heading 1"/>
    <w:basedOn w:val="Normal"/>
    <w:next w:val="Normal"/>
    <w:link w:val="Heading1Char"/>
    <w:uiPriority w:val="9"/>
    <w:qFormat/>
    <w:rsid w:val="00533E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3E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3E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3E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3E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3EA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3EA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3EA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3EA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E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3E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3E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3E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3E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3E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3E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3E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3EA8"/>
    <w:rPr>
      <w:rFonts w:eastAsiaTheme="majorEastAsia" w:cstheme="majorBidi"/>
      <w:color w:val="272727" w:themeColor="text1" w:themeTint="D8"/>
    </w:rPr>
  </w:style>
  <w:style w:type="paragraph" w:styleId="Title">
    <w:name w:val="Title"/>
    <w:basedOn w:val="Normal"/>
    <w:next w:val="Normal"/>
    <w:link w:val="TitleChar"/>
    <w:uiPriority w:val="10"/>
    <w:qFormat/>
    <w:rsid w:val="00533EA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3E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3E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3E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3EA8"/>
    <w:pPr>
      <w:spacing w:before="160"/>
      <w:jc w:val="center"/>
    </w:pPr>
    <w:rPr>
      <w:i/>
      <w:iCs/>
      <w:color w:val="404040" w:themeColor="text1" w:themeTint="BF"/>
    </w:rPr>
  </w:style>
  <w:style w:type="character" w:customStyle="1" w:styleId="QuoteChar">
    <w:name w:val="Quote Char"/>
    <w:basedOn w:val="DefaultParagraphFont"/>
    <w:link w:val="Quote"/>
    <w:uiPriority w:val="29"/>
    <w:rsid w:val="00533EA8"/>
    <w:rPr>
      <w:i/>
      <w:iCs/>
      <w:color w:val="404040" w:themeColor="text1" w:themeTint="BF"/>
    </w:rPr>
  </w:style>
  <w:style w:type="paragraph" w:styleId="ListParagraph">
    <w:name w:val="List Paragraph"/>
    <w:aliases w:val="List Paragraph Red,Bullet EY,Bullet Points,Liste Paragraf,Citation List,Buletai,List Paragraph21,lp1,Bullet 1,Use Case List Paragraph,List Paragraph111,Paragraph,ERP-List Paragraph,List Paragraph1,List Paragraph11,Numbering,Primus H 3,bl1"/>
    <w:basedOn w:val="Normal"/>
    <w:link w:val="ListParagraphChar"/>
    <w:uiPriority w:val="34"/>
    <w:qFormat/>
    <w:rsid w:val="00533EA8"/>
    <w:pPr>
      <w:ind w:left="720"/>
      <w:contextualSpacing/>
    </w:pPr>
  </w:style>
  <w:style w:type="character" w:styleId="IntenseEmphasis">
    <w:name w:val="Intense Emphasis"/>
    <w:basedOn w:val="DefaultParagraphFont"/>
    <w:uiPriority w:val="21"/>
    <w:qFormat/>
    <w:rsid w:val="00533EA8"/>
    <w:rPr>
      <w:i/>
      <w:iCs/>
      <w:color w:val="0F4761" w:themeColor="accent1" w:themeShade="BF"/>
    </w:rPr>
  </w:style>
  <w:style w:type="paragraph" w:styleId="IntenseQuote">
    <w:name w:val="Intense Quote"/>
    <w:basedOn w:val="Normal"/>
    <w:next w:val="Normal"/>
    <w:link w:val="IntenseQuoteChar"/>
    <w:uiPriority w:val="30"/>
    <w:qFormat/>
    <w:rsid w:val="00533E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3EA8"/>
    <w:rPr>
      <w:i/>
      <w:iCs/>
      <w:color w:val="0F4761" w:themeColor="accent1" w:themeShade="BF"/>
    </w:rPr>
  </w:style>
  <w:style w:type="character" w:styleId="IntenseReference">
    <w:name w:val="Intense Reference"/>
    <w:basedOn w:val="DefaultParagraphFont"/>
    <w:uiPriority w:val="32"/>
    <w:qFormat/>
    <w:rsid w:val="00533EA8"/>
    <w:rPr>
      <w:b/>
      <w:bCs/>
      <w:smallCaps/>
      <w:color w:val="0F4761" w:themeColor="accent1" w:themeShade="BF"/>
      <w:spacing w:val="5"/>
    </w:rPr>
  </w:style>
  <w:style w:type="paragraph" w:styleId="Footer">
    <w:name w:val="footer"/>
    <w:basedOn w:val="Normal"/>
    <w:link w:val="FooterChar"/>
    <w:uiPriority w:val="99"/>
    <w:rsid w:val="00207264"/>
    <w:pPr>
      <w:tabs>
        <w:tab w:val="center" w:pos="4320"/>
        <w:tab w:val="right" w:pos="8640"/>
      </w:tabs>
      <w:spacing w:before="120" w:after="120"/>
    </w:pPr>
    <w:rPr>
      <w:rFonts w:ascii="Arial" w:hAnsi="Arial"/>
      <w:sz w:val="20"/>
      <w:szCs w:val="20"/>
      <w:lang w:val="sv-SE"/>
    </w:rPr>
  </w:style>
  <w:style w:type="character" w:customStyle="1" w:styleId="FooterChar">
    <w:name w:val="Footer Char"/>
    <w:basedOn w:val="DefaultParagraphFont"/>
    <w:link w:val="Footer"/>
    <w:uiPriority w:val="99"/>
    <w:rsid w:val="00207264"/>
    <w:rPr>
      <w:rFonts w:ascii="Arial" w:eastAsia="Times New Roman" w:hAnsi="Arial" w:cs="Times New Roman"/>
      <w:kern w:val="0"/>
      <w:sz w:val="20"/>
      <w:szCs w:val="20"/>
      <w:lang w:val="sv-SE"/>
      <w14:ligatures w14:val="none"/>
    </w:rPr>
  </w:style>
  <w:style w:type="table" w:styleId="TableGrid">
    <w:name w:val="Table Grid"/>
    <w:basedOn w:val="TableNormal"/>
    <w:uiPriority w:val="59"/>
    <w:rsid w:val="00207264"/>
    <w:pPr>
      <w:spacing w:after="0" w:line="240" w:lineRule="auto"/>
    </w:pPr>
    <w:rPr>
      <w:rFonts w:ascii="Times New Roman" w:eastAsia="Times New Roman" w:hAnsi="Times New Roman" w:cs="Times New Roman"/>
      <w:kern w:val="0"/>
      <w:sz w:val="20"/>
      <w:szCs w:val="20"/>
      <w:lang w:eastAsia="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Red Char,Bullet EY Char,Bullet Points Char,Liste Paragraf Char,Citation List Char,Buletai Char,List Paragraph21 Char,lp1 Char,Bullet 1 Char,Use Case List Paragraph Char,List Paragraph111 Char,Paragraph Char,bl1 Char"/>
    <w:link w:val="ListParagraph"/>
    <w:uiPriority w:val="34"/>
    <w:locked/>
    <w:rsid w:val="00207264"/>
  </w:style>
  <w:style w:type="paragraph" w:styleId="Header">
    <w:name w:val="header"/>
    <w:basedOn w:val="Normal"/>
    <w:link w:val="HeaderChar"/>
    <w:uiPriority w:val="99"/>
    <w:semiHidden/>
    <w:unhideWhenUsed/>
    <w:rsid w:val="008C4A89"/>
    <w:pPr>
      <w:tabs>
        <w:tab w:val="center" w:pos="4819"/>
        <w:tab w:val="right" w:pos="9639"/>
      </w:tabs>
    </w:pPr>
  </w:style>
  <w:style w:type="character" w:customStyle="1" w:styleId="HeaderChar">
    <w:name w:val="Header Char"/>
    <w:basedOn w:val="DefaultParagraphFont"/>
    <w:link w:val="Header"/>
    <w:uiPriority w:val="99"/>
    <w:semiHidden/>
    <w:rsid w:val="008C4A89"/>
    <w:rPr>
      <w:rFonts w:ascii="Times New Roman" w:eastAsia="Times New Roman" w:hAnsi="Times New Roman" w:cs="Times New Roman"/>
      <w:kern w:val="0"/>
      <w:lang w:val="en-GB"/>
      <w14:ligatures w14:val="none"/>
    </w:rPr>
  </w:style>
  <w:style w:type="paragraph" w:styleId="Revision">
    <w:name w:val="Revision"/>
    <w:hidden/>
    <w:uiPriority w:val="99"/>
    <w:semiHidden/>
    <w:rsid w:val="003D6E4A"/>
    <w:pPr>
      <w:spacing w:after="0" w:line="240" w:lineRule="auto"/>
    </w:pPr>
    <w:rPr>
      <w:rFonts w:ascii="Times New Roman" w:eastAsia="Times New Roman" w:hAnsi="Times New Roman" w:cs="Times New Roman"/>
      <w:kern w:val="0"/>
      <w:lang w:val="en-GB"/>
      <w14:ligatures w14:val="none"/>
    </w:rPr>
  </w:style>
  <w:style w:type="paragraph" w:styleId="FootnoteText">
    <w:name w:val="footnote text"/>
    <w:basedOn w:val="Normal"/>
    <w:link w:val="FootnoteTextChar"/>
    <w:uiPriority w:val="99"/>
    <w:semiHidden/>
    <w:unhideWhenUsed/>
    <w:rsid w:val="004D0E0B"/>
    <w:rPr>
      <w:sz w:val="20"/>
      <w:szCs w:val="20"/>
    </w:rPr>
  </w:style>
  <w:style w:type="character" w:customStyle="1" w:styleId="FootnoteTextChar">
    <w:name w:val="Footnote Text Char"/>
    <w:basedOn w:val="DefaultParagraphFont"/>
    <w:link w:val="FootnoteText"/>
    <w:uiPriority w:val="99"/>
    <w:semiHidden/>
    <w:rsid w:val="004D0E0B"/>
    <w:rPr>
      <w:rFonts w:ascii="Times New Roman" w:eastAsia="Times New Roman" w:hAnsi="Times New Roman" w:cs="Times New Roman"/>
      <w:kern w:val="0"/>
      <w:sz w:val="20"/>
      <w:szCs w:val="20"/>
      <w:lang w:val="en-GB"/>
      <w14:ligatures w14:val="none"/>
    </w:rPr>
  </w:style>
  <w:style w:type="character" w:styleId="FootnoteReference">
    <w:name w:val="footnote reference"/>
    <w:basedOn w:val="DefaultParagraphFont"/>
    <w:uiPriority w:val="99"/>
    <w:unhideWhenUsed/>
    <w:qFormat/>
    <w:rsid w:val="004D0E0B"/>
    <w:rPr>
      <w:vertAlign w:val="superscript"/>
    </w:rPr>
  </w:style>
  <w:style w:type="character" w:styleId="CommentReference">
    <w:name w:val="annotation reference"/>
    <w:basedOn w:val="DefaultParagraphFont"/>
    <w:uiPriority w:val="99"/>
    <w:semiHidden/>
    <w:unhideWhenUsed/>
    <w:rsid w:val="00D73B9F"/>
    <w:rPr>
      <w:sz w:val="16"/>
      <w:szCs w:val="16"/>
    </w:rPr>
  </w:style>
  <w:style w:type="paragraph" w:styleId="CommentText">
    <w:name w:val="annotation text"/>
    <w:basedOn w:val="Normal"/>
    <w:link w:val="CommentTextChar"/>
    <w:uiPriority w:val="99"/>
    <w:unhideWhenUsed/>
    <w:rsid w:val="00D73B9F"/>
    <w:rPr>
      <w:sz w:val="20"/>
      <w:szCs w:val="20"/>
    </w:rPr>
  </w:style>
  <w:style w:type="character" w:customStyle="1" w:styleId="CommentTextChar">
    <w:name w:val="Comment Text Char"/>
    <w:basedOn w:val="DefaultParagraphFont"/>
    <w:link w:val="CommentText"/>
    <w:uiPriority w:val="99"/>
    <w:rsid w:val="00D73B9F"/>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D73B9F"/>
    <w:rPr>
      <w:b/>
      <w:bCs/>
    </w:rPr>
  </w:style>
  <w:style w:type="character" w:customStyle="1" w:styleId="CommentSubjectChar">
    <w:name w:val="Comment Subject Char"/>
    <w:basedOn w:val="CommentTextChar"/>
    <w:link w:val="CommentSubject"/>
    <w:uiPriority w:val="99"/>
    <w:semiHidden/>
    <w:rsid w:val="00D73B9F"/>
    <w:rPr>
      <w:rFonts w:ascii="Times New Roman" w:eastAsia="Times New Roman" w:hAnsi="Times New Roman" w:cs="Times New Roman"/>
      <w:b/>
      <w:bCs/>
      <w:kern w:val="0"/>
      <w:sz w:val="20"/>
      <w:szCs w:val="20"/>
      <w:lang w:val="en-GB"/>
      <w14:ligatures w14:val="none"/>
    </w:rPr>
  </w:style>
  <w:style w:type="paragraph" w:styleId="NormalWeb">
    <w:name w:val="Normal (Web)"/>
    <w:basedOn w:val="Normal"/>
    <w:uiPriority w:val="99"/>
    <w:semiHidden/>
    <w:unhideWhenUsed/>
    <w:rsid w:val="00977B7F"/>
  </w:style>
  <w:style w:type="character" w:styleId="Hyperlink">
    <w:name w:val="Hyperlink"/>
    <w:basedOn w:val="DefaultParagraphFont"/>
    <w:uiPriority w:val="99"/>
    <w:unhideWhenUsed/>
    <w:rsid w:val="00991DE5"/>
    <w:rPr>
      <w:color w:val="467886" w:themeColor="hyperlink"/>
      <w:u w:val="single"/>
    </w:rPr>
  </w:style>
  <w:style w:type="character" w:styleId="UnresolvedMention">
    <w:name w:val="Unresolved Mention"/>
    <w:basedOn w:val="DefaultParagraphFont"/>
    <w:uiPriority w:val="99"/>
    <w:semiHidden/>
    <w:unhideWhenUsed/>
    <w:rsid w:val="00991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84371">
      <w:bodyDiv w:val="1"/>
      <w:marLeft w:val="0"/>
      <w:marRight w:val="0"/>
      <w:marTop w:val="0"/>
      <w:marBottom w:val="0"/>
      <w:divBdr>
        <w:top w:val="none" w:sz="0" w:space="0" w:color="auto"/>
        <w:left w:val="none" w:sz="0" w:space="0" w:color="auto"/>
        <w:bottom w:val="none" w:sz="0" w:space="0" w:color="auto"/>
        <w:right w:val="none" w:sz="0" w:space="0" w:color="auto"/>
      </w:divBdr>
    </w:div>
    <w:div w:id="255482293">
      <w:bodyDiv w:val="1"/>
      <w:marLeft w:val="0"/>
      <w:marRight w:val="0"/>
      <w:marTop w:val="0"/>
      <w:marBottom w:val="0"/>
      <w:divBdr>
        <w:top w:val="none" w:sz="0" w:space="0" w:color="auto"/>
        <w:left w:val="none" w:sz="0" w:space="0" w:color="auto"/>
        <w:bottom w:val="none" w:sz="0" w:space="0" w:color="auto"/>
        <w:right w:val="none" w:sz="0" w:space="0" w:color="auto"/>
      </w:divBdr>
    </w:div>
    <w:div w:id="299381081">
      <w:bodyDiv w:val="1"/>
      <w:marLeft w:val="0"/>
      <w:marRight w:val="0"/>
      <w:marTop w:val="0"/>
      <w:marBottom w:val="0"/>
      <w:divBdr>
        <w:top w:val="none" w:sz="0" w:space="0" w:color="auto"/>
        <w:left w:val="none" w:sz="0" w:space="0" w:color="auto"/>
        <w:bottom w:val="none" w:sz="0" w:space="0" w:color="auto"/>
        <w:right w:val="none" w:sz="0" w:space="0" w:color="auto"/>
      </w:divBdr>
    </w:div>
    <w:div w:id="399788762">
      <w:bodyDiv w:val="1"/>
      <w:marLeft w:val="0"/>
      <w:marRight w:val="0"/>
      <w:marTop w:val="0"/>
      <w:marBottom w:val="0"/>
      <w:divBdr>
        <w:top w:val="none" w:sz="0" w:space="0" w:color="auto"/>
        <w:left w:val="none" w:sz="0" w:space="0" w:color="auto"/>
        <w:bottom w:val="none" w:sz="0" w:space="0" w:color="auto"/>
        <w:right w:val="none" w:sz="0" w:space="0" w:color="auto"/>
      </w:divBdr>
    </w:div>
    <w:div w:id="695620497">
      <w:bodyDiv w:val="1"/>
      <w:marLeft w:val="0"/>
      <w:marRight w:val="0"/>
      <w:marTop w:val="0"/>
      <w:marBottom w:val="0"/>
      <w:divBdr>
        <w:top w:val="none" w:sz="0" w:space="0" w:color="auto"/>
        <w:left w:val="none" w:sz="0" w:space="0" w:color="auto"/>
        <w:bottom w:val="none" w:sz="0" w:space="0" w:color="auto"/>
        <w:right w:val="none" w:sz="0" w:space="0" w:color="auto"/>
      </w:divBdr>
    </w:div>
    <w:div w:id="1150562165">
      <w:bodyDiv w:val="1"/>
      <w:marLeft w:val="0"/>
      <w:marRight w:val="0"/>
      <w:marTop w:val="0"/>
      <w:marBottom w:val="0"/>
      <w:divBdr>
        <w:top w:val="none" w:sz="0" w:space="0" w:color="auto"/>
        <w:left w:val="none" w:sz="0" w:space="0" w:color="auto"/>
        <w:bottom w:val="none" w:sz="0" w:space="0" w:color="auto"/>
        <w:right w:val="none" w:sz="0" w:space="0" w:color="auto"/>
      </w:divBdr>
    </w:div>
    <w:div w:id="1243763039">
      <w:bodyDiv w:val="1"/>
      <w:marLeft w:val="0"/>
      <w:marRight w:val="0"/>
      <w:marTop w:val="0"/>
      <w:marBottom w:val="0"/>
      <w:divBdr>
        <w:top w:val="none" w:sz="0" w:space="0" w:color="auto"/>
        <w:left w:val="none" w:sz="0" w:space="0" w:color="auto"/>
        <w:bottom w:val="none" w:sz="0" w:space="0" w:color="auto"/>
        <w:right w:val="none" w:sz="0" w:space="0" w:color="auto"/>
      </w:divBdr>
    </w:div>
    <w:div w:id="181105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pva.lt/projektas/es-integracijos-paramos-priemone-ukrainai-ua2e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4pfm.com.u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6fdf40a0e1e4c27b9444f6dc0ea131b xmlns="f5ebda27-b626-448f-a7d1-d1cf5ad133fa" xsi:nil="true"/>
    <ExportDate xmlns="a843bbba-5665-4b5f-aacc-cdcb1c804839" xsi:nil="true"/>
    <DmsDocPrepDocSendReg xmlns="028236e2-f653-4d19-ab67-4d06a9145e0c" xsi:nil="true"/>
    <DmsDocPrepListOrderNo xmlns="4b2e9d09-07c5-42d4-ad0a-92e216c40b99">2</DmsDocPrepListOrderN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o priedas" ma:contentTypeID="0x010100D76F90AF19434866994CD715ED8FEE4200712820E1B0DE314FBCE77D75ADAD206D" ma:contentTypeVersion="3" ma:contentTypeDescription="" ma:contentTypeScope="" ma:versionID="4d907e23df1946c6d37a59fb55db7e3d">
  <xsd:schema xmlns:xsd="http://www.w3.org/2001/XMLSchema" xmlns:xs="http://www.w3.org/2001/XMLSchema" xmlns:p="http://schemas.microsoft.com/office/2006/metadata/properties" xmlns:ns2="4b2e9d09-07c5-42d4-ad0a-92e216c40b99" xmlns:ns3="f5ebda27-b626-448f-a7d1-d1cf5ad133fa" xmlns:ns4="028236e2-f653-4d19-ab67-4d06a9145e0c" xmlns:ns5="a843bbba-5665-4b5f-aacc-cdcb1c804839" targetNamespace="http://schemas.microsoft.com/office/2006/metadata/properties" ma:root="true" ma:fieldsID="7429f1b30b221ede030be3017a80dccb" ns2:_="" ns3:_="" ns4:_="" ns5:_="">
    <xsd:import namespace="4b2e9d09-07c5-42d4-ad0a-92e216c40b99"/>
    <xsd:import namespace="f5ebda27-b626-448f-a7d1-d1cf5ad133fa"/>
    <xsd:import namespace="028236e2-f653-4d19-ab67-4d06a9145e0c"/>
    <xsd:import namespace="a843bbba-5665-4b5f-aacc-cdcb1c804839"/>
    <xsd:element name="properties">
      <xsd:complexType>
        <xsd:sequence>
          <xsd:element name="documentManagement">
            <xsd:complexType>
              <xsd:all>
                <xsd:element ref="ns2:DmsDocPrepListOrderNo" minOccurs="0"/>
                <xsd:element ref="ns3:j6fdf40a0e1e4c27b9444f6dc0ea131b" minOccurs="0"/>
                <xsd:element ref="ns4:DmsDocPrepDocSendReg" minOccurs="0"/>
                <xsd:element ref="ns5:Expo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e9d09-07c5-42d4-ad0a-92e216c40b99" elementFormDefault="qualified">
    <xsd:import namespace="http://schemas.microsoft.com/office/2006/documentManagement/types"/>
    <xsd:import namespace="http://schemas.microsoft.com/office/infopath/2007/PartnerControls"/>
    <xsd:element name="DmsDocPrepListOrderNo" ma:index="8" nillable="true" ma:displayName="Turinio tipo rikiavimas" ma:description="" ma:internalName="DmsDocPrepListOrder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ebda27-b626-448f-a7d1-d1cf5ad133fa" elementFormDefault="qualified">
    <xsd:import namespace="http://schemas.microsoft.com/office/2006/documentManagement/types"/>
    <xsd:import namespace="http://schemas.microsoft.com/office/infopath/2007/PartnerControls"/>
    <xsd:element name="j6fdf40a0e1e4c27b9444f6dc0ea131b" ma:index="9" nillable="true" ma:displayName="DmsPermissionsDivisions_0" ma:hidden="true" ma:internalName="j6fdf40a0e1e4c27b9444f6dc0ea131b">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8236e2-f653-4d19-ab67-4d06a9145e0c" elementFormDefault="qualified">
    <xsd:import namespace="http://schemas.microsoft.com/office/2006/documentManagement/types"/>
    <xsd:import namespace="http://schemas.microsoft.com/office/infopath/2007/PartnerControls"/>
    <xsd:element name="DmsDocPrepDocSendReg" ma:index="10" nillable="true" ma:displayName="Siųsti registruoti" ma:description="" ma:internalName="DmsDocPrepDocSendRe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843bbba-5665-4b5f-aacc-cdcb1c804839" elementFormDefault="qualified">
    <xsd:import namespace="http://schemas.microsoft.com/office/2006/documentManagement/types"/>
    <xsd:import namespace="http://schemas.microsoft.com/office/infopath/2007/PartnerControls"/>
    <xsd:element name="ExportDate" ma:index="11" nillable="true" ma:displayName="ExportDate" ma:format="DateOnly" ma:internalName="Export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0C47E5-0BAC-4095-AFE8-06256FB651C2}">
  <ds:schemaRefs>
    <ds:schemaRef ds:uri="http://schemas.microsoft.com/office/2006/documentManagement/types"/>
    <ds:schemaRef ds:uri="028236e2-f653-4d19-ab67-4d06a9145e0c"/>
    <ds:schemaRef ds:uri="http://schemas.microsoft.com/office/2006/metadata/properties"/>
    <ds:schemaRef ds:uri="http://www.w3.org/XML/1998/namespace"/>
    <ds:schemaRef ds:uri="http://purl.org/dc/elements/1.1/"/>
    <ds:schemaRef ds:uri="http://purl.org/dc/terms/"/>
    <ds:schemaRef ds:uri="a843bbba-5665-4b5f-aacc-cdcb1c804839"/>
    <ds:schemaRef ds:uri="http://schemas.microsoft.com/office/infopath/2007/PartnerControls"/>
    <ds:schemaRef ds:uri="f5ebda27-b626-448f-a7d1-d1cf5ad133fa"/>
    <ds:schemaRef ds:uri="http://schemas.openxmlformats.org/package/2006/metadata/core-properties"/>
    <ds:schemaRef ds:uri="4b2e9d09-07c5-42d4-ad0a-92e216c40b99"/>
    <ds:schemaRef ds:uri="http://purl.org/dc/dcmitype/"/>
  </ds:schemaRefs>
</ds:datastoreItem>
</file>

<file path=customXml/itemProps2.xml><?xml version="1.0" encoding="utf-8"?>
<ds:datastoreItem xmlns:ds="http://schemas.openxmlformats.org/officeDocument/2006/customXml" ds:itemID="{44DD0965-C995-4185-BBF9-895F05053644}">
  <ds:schemaRefs>
    <ds:schemaRef ds:uri="http://schemas.microsoft.com/sharepoint/v3/contenttype/forms"/>
  </ds:schemaRefs>
</ds:datastoreItem>
</file>

<file path=customXml/itemProps3.xml><?xml version="1.0" encoding="utf-8"?>
<ds:datastoreItem xmlns:ds="http://schemas.openxmlformats.org/officeDocument/2006/customXml" ds:itemID="{CBCE1132-EF54-4090-8F0D-A1E7BFA8952F}">
  <ds:schemaRefs>
    <ds:schemaRef ds:uri="http://schemas.openxmlformats.org/officeDocument/2006/bibliography"/>
  </ds:schemaRefs>
</ds:datastoreItem>
</file>

<file path=customXml/itemProps4.xml><?xml version="1.0" encoding="utf-8"?>
<ds:datastoreItem xmlns:ds="http://schemas.openxmlformats.org/officeDocument/2006/customXml" ds:itemID="{F470BEDF-E275-47A1-8EC4-86FDCECB0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e9d09-07c5-42d4-ad0a-92e216c40b99"/>
    <ds:schemaRef ds:uri="f5ebda27-b626-448f-a7d1-d1cf5ad133fa"/>
    <ds:schemaRef ds:uri="028236e2-f653-4d19-ab67-4d06a9145e0c"/>
    <ds:schemaRef ds:uri="a843bbba-5665-4b5f-aacc-cdcb1c804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1714</Words>
  <Characters>9994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TS vertimų žodžiu LT_Lauros</vt:lpstr>
    </vt:vector>
  </TitlesOfParts>
  <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vertimų žodžiu LT_Lauros</dc:title>
  <dc:subject/>
  <dc:creator>Agnė Juršėnaitė-Skovorodko</dc:creator>
  <cp:keywords>, docId:1F44F0065BCD122B7F58420F52B0DD8E</cp:keywords>
  <dc:description/>
  <cp:lastModifiedBy>Laura Sungailaitė-Jurčė</cp:lastModifiedBy>
  <cp:revision>3</cp:revision>
  <dcterms:created xsi:type="dcterms:W3CDTF">2025-08-21T12:35:00Z</dcterms:created>
  <dcterms:modified xsi:type="dcterms:W3CDTF">2025-08-21T12:36:00Z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vt:lpwstr>
  </property>
  <property fmtid="{D5CDD505-2E9C-101B-9397-08002B2CF9AE}" pid="3" name="GrammarlyDocumentId">
    <vt:lpwstr>5a177275-67ea-49b7-99b1-db1dbac9c029</vt:lpwstr>
  </property>
  <property fmtid="{D5CDD505-2E9C-101B-9397-08002B2CF9AE}" pid="4" name="DmsPermissionsFlags">
    <vt:lpwstr>,SECTRUE,</vt:lpwstr>
  </property>
  <property fmtid="{D5CDD505-2E9C-101B-9397-08002B2CF9AE}" pid="5" name="DmsPermissionsDivisions">
    <vt:lpwstr/>
  </property>
  <property fmtid="{D5CDD505-2E9C-101B-9397-08002B2CF9AE}" pid="6" name="TaxCatchAll">
    <vt:lpwstr/>
  </property>
  <property fmtid="{D5CDD505-2E9C-101B-9397-08002B2CF9AE}" pid="7" name="ContentTypeId">
    <vt:lpwstr>0x010100D76F90AF19434866994CD715ED8FEE4200712820E1B0DE314FBCE77D75ADAD206D</vt:lpwstr>
  </property>
  <property fmtid="{D5CDD505-2E9C-101B-9397-08002B2CF9AE}" pid="8" name="DmsPermissionsUsers">
    <vt:lpwstr>1283;#Laura Sungailaitė-Jurčė;#273;#Dalia Vinklerė;#1169;#Simona Petrulytė;#1197;#Agnė Juršėnaitė-Skovorodko;#83;#Jovita Ramanauskaitė;#1547;#Smiltė Prokarenkaitė</vt:lpwstr>
  </property>
  <property fmtid="{D5CDD505-2E9C-101B-9397-08002B2CF9AE}" pid="9" name="DmsCommChanPerm">
    <vt:lpwstr/>
  </property>
  <property fmtid="{D5CDD505-2E9C-101B-9397-08002B2CF9AE}" pid="10" name="DmsPermissionsConfid">
    <vt:bool>false</vt:bool>
  </property>
</Properties>
</file>